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40" w:rsidRDefault="00B92540" w:rsidP="00B92540"/>
    <w:p w:rsidR="00B92540" w:rsidRPr="00620E92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>HARMONOGRAM ZAJĘĆ Z PRZEDMIOTU ĆWICZENIA: PRAWO KARNE SKARBOWE (PKS)</w:t>
      </w:r>
    </w:p>
    <w:p w:rsidR="00B92540" w:rsidRPr="00620E92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>NIESTACJONARNE STUDIA ZAOCZNE JEDNOLITE MAGISTERSKIE V ROK GRUPA III, SMESTR ZIMOWY ROK AKADEMICKI 2018/2019</w:t>
      </w:r>
    </w:p>
    <w:p w:rsidR="00B92540" w:rsidRPr="00620E92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>PROWADZĄCY: mgr Mirosława Zajcew-Szwaj</w:t>
      </w:r>
    </w:p>
    <w:p w:rsidR="00B92540" w:rsidRPr="00620E92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>KONTAKT: miroslawa.zajcew-szwaj@uwr.edu.pl</w:t>
      </w:r>
    </w:p>
    <w:p w:rsidR="00B92540" w:rsidRPr="00620E92" w:rsidRDefault="00B92540" w:rsidP="00B9254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0E92">
        <w:rPr>
          <w:rFonts w:ascii="Times New Roman" w:hAnsi="Times New Roman" w:cs="Times New Roman"/>
          <w:sz w:val="24"/>
          <w:szCs w:val="24"/>
        </w:rPr>
        <w:t>Konsultacje:</w:t>
      </w: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B92540" w:rsidRPr="00620E92" w:rsidRDefault="00431690" w:rsidP="00B9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13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.10.201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 od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.00 do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.00</w:t>
      </w:r>
    </w:p>
    <w:p w:rsidR="00B92540" w:rsidRPr="00620E92" w:rsidRDefault="00431690" w:rsidP="00B9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10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.11.201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  od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 do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</w:t>
      </w:r>
    </w:p>
    <w:p w:rsidR="00B92540" w:rsidRPr="00620E92" w:rsidRDefault="00431690" w:rsidP="00B9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8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.12.201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  od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 do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7.0</w:t>
      </w:r>
      <w:r w:rsidR="00B92540"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</w:t>
      </w:r>
    </w:p>
    <w:p w:rsidR="00B92540" w:rsidRPr="00620E92" w:rsidRDefault="00B92540" w:rsidP="00B9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19.01.20</w:t>
      </w:r>
      <w:r w:rsidR="00431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</w:t>
      </w: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 </w:t>
      </w:r>
      <w:r w:rsidR="00431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 1</w:t>
      </w:r>
      <w:r w:rsidR="00431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431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 do 1</w:t>
      </w:r>
      <w:r w:rsidR="00431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</w:t>
      </w: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431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</w:t>
      </w:r>
    </w:p>
    <w:p w:rsidR="00B92540" w:rsidRPr="00620E92" w:rsidRDefault="00B92540" w:rsidP="00B9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26.01.20</w:t>
      </w:r>
      <w:r w:rsidR="00431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</w:t>
      </w: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r. </w:t>
      </w:r>
      <w:r w:rsidR="00431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 1</w:t>
      </w:r>
      <w:r w:rsidR="00431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.00 do 1</w:t>
      </w:r>
      <w:r w:rsidR="004316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620E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.00</w:t>
      </w:r>
    </w:p>
    <w:p w:rsidR="00B92540" w:rsidRPr="00620E92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 xml:space="preserve"> informacje dot. możliwych zmian godzin konsultacji dostępne będą na stronie wydziałowej prowadzącego http://prawo.uni.wroc.pl/pracownicy/287319.</w:t>
      </w:r>
    </w:p>
    <w:p w:rsidR="00B92540" w:rsidRPr="00620E92" w:rsidRDefault="00B92540" w:rsidP="00B925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92">
        <w:rPr>
          <w:rFonts w:ascii="Times New Roman" w:hAnsi="Times New Roman" w:cs="Times New Roman"/>
          <w:b/>
          <w:sz w:val="24"/>
          <w:szCs w:val="24"/>
        </w:rPr>
        <w:t xml:space="preserve">Ocena semestralna </w:t>
      </w:r>
    </w:p>
    <w:p w:rsidR="00B92540" w:rsidRPr="00620E92" w:rsidRDefault="00B92540" w:rsidP="00B925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>Przy wystawieniu oceny semestralnej z przedmiotu prawo karne skarbowe składową oceny stanowią oceny uzyskane z kolokwium semestralnego wraz z aktywnością na ćwiczeniach oraz obecnością na zajęciach.</w:t>
      </w:r>
    </w:p>
    <w:p w:rsidR="00B92540" w:rsidRPr="00620E92" w:rsidRDefault="00B92540" w:rsidP="00B925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>Jedna nieobecność jest dopuszczalna bez usprawiedliwienia.</w:t>
      </w:r>
    </w:p>
    <w:p w:rsidR="00B92540" w:rsidRPr="00620E92" w:rsidRDefault="00B92540" w:rsidP="00B925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>Dodatkowe oceny</w:t>
      </w:r>
    </w:p>
    <w:p w:rsidR="00B92540" w:rsidRPr="00620E92" w:rsidRDefault="00B92540" w:rsidP="00B925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7272324"/>
      <w:r w:rsidRPr="00620E92">
        <w:rPr>
          <w:rFonts w:ascii="Times New Roman" w:hAnsi="Times New Roman" w:cs="Times New Roman"/>
          <w:sz w:val="24"/>
          <w:szCs w:val="24"/>
        </w:rPr>
        <w:t>Za obecność na 9 zajęciach ocena dodatkowa 5</w:t>
      </w:r>
    </w:p>
    <w:bookmarkEnd w:id="0"/>
    <w:p w:rsidR="00B92540" w:rsidRPr="00620E92" w:rsidRDefault="00B92540" w:rsidP="00B925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>Za obecność na 8 zajęciach ocena dodatkowa 4</w:t>
      </w:r>
    </w:p>
    <w:p w:rsidR="00B92540" w:rsidRPr="00620E92" w:rsidRDefault="00B92540" w:rsidP="00B925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>Za obecność na 7 zajęciach ocena dodatkowa 3</w:t>
      </w:r>
    </w:p>
    <w:p w:rsidR="00B92540" w:rsidRPr="00620E92" w:rsidRDefault="00B92540" w:rsidP="00B925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>Za nieobecność na więcej niż 6 zajęć ocena dodatkowa niedostateczna</w:t>
      </w:r>
    </w:p>
    <w:p w:rsidR="00B92540" w:rsidRPr="00620E92" w:rsidRDefault="00B92540" w:rsidP="00B925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>Dodatkowe oceny za aktywność na zajęciach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  <w:rPr>
          <w:rFonts w:eastAsiaTheme="minorEastAsia"/>
          <w:b/>
          <w:color w:val="000000" w:themeColor="text1"/>
          <w:kern w:val="24"/>
        </w:rPr>
      </w:pPr>
      <w:r w:rsidRPr="00620E92">
        <w:rPr>
          <w:rFonts w:eastAsiaTheme="majorEastAsia"/>
          <w:b/>
          <w:color w:val="000000" w:themeColor="text1"/>
          <w:kern w:val="24"/>
        </w:rPr>
        <w:t>Kolokwium semestralne</w:t>
      </w:r>
    </w:p>
    <w:p w:rsidR="00B92540" w:rsidRPr="00620E92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 xml:space="preserve">Kolokwium odbędzie się na przedostatnich zajęciach w formie opisowej, polegającej na udzieleniu odpowiedzi na 2 pytania ( do wyboru będą 3 pytania); – warunkiem zaliczenia kolokwium jest udzielenie odpowiedzi na każde z 2 pytań w stopniu dostatecznym; – czas trwania kolokwium: 30-45 minut; − poprawa kolokwium odbędzie się na ostatnich zajęciach; − poprawie podlegają tylko oceny niedostateczne; − ocena niedostateczna uzyskana na poprawie kolokwium stanowi ocenę końcową  i podlega wpisowi do systemu USOS. </w:t>
      </w:r>
      <w:r w:rsidR="004316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0E92">
        <w:rPr>
          <w:rFonts w:ascii="Times New Roman" w:hAnsi="Times New Roman" w:cs="Times New Roman"/>
          <w:sz w:val="24"/>
          <w:szCs w:val="24"/>
        </w:rPr>
        <w:t xml:space="preserve">Student ma obowiązek przystąpienia do kolokwium semestralnego w wyznaczonym terminie.   W sytuacji wyjątkowej, usprawiedliwionej w należyty sposób (o czym decyduje prowadzący zajęcia), w razie nieprzystąpienia do kolokwium, Student ma obowiązek przystąpić do niego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0E92">
        <w:rPr>
          <w:rFonts w:ascii="Times New Roman" w:hAnsi="Times New Roman" w:cs="Times New Roman"/>
          <w:sz w:val="24"/>
          <w:szCs w:val="24"/>
        </w:rPr>
        <w:t>w godzinach konsultacji. Poprawa ocen z kolokwium dotyczy wyłącznie ocen niedostatecznych.</w:t>
      </w:r>
    </w:p>
    <w:p w:rsidR="00B92540" w:rsidRPr="00620E92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540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540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540" w:rsidRPr="00620E92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lastRenderedPageBreak/>
        <w:t>Harmonogram zajęć.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  <w:rPr>
          <w:rFonts w:eastAsiaTheme="minorEastAsia"/>
          <w:color w:val="000000" w:themeColor="text1"/>
          <w:kern w:val="24"/>
        </w:rPr>
      </w:pPr>
      <w:r w:rsidRPr="00620E92">
        <w:rPr>
          <w:rFonts w:eastAsiaTheme="minorEastAsia"/>
          <w:color w:val="000000" w:themeColor="text1"/>
          <w:kern w:val="24"/>
        </w:rPr>
        <w:t xml:space="preserve">1/  Zajęcia organizacyjne. Wprowadzenie do przedmiotu. Pojęcie i funkcje prawa karnego  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 xml:space="preserve">     skarbowego.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>2/  Obowiązywanie kodeksu karnego skarbowego w czasie i przestrzeni.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 xml:space="preserve">3/   Pojęcie i kryteria rozgraniczenia przestępstwa i wykroczenia skarbowego. 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>4/   Ogólna charakterystyka przestępstw i wykroczeń w kodeksie karnym skarbowym .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  <w:rPr>
          <w:rFonts w:eastAsiaTheme="minorEastAsia"/>
          <w:color w:val="000000" w:themeColor="text1"/>
          <w:kern w:val="24"/>
        </w:rPr>
      </w:pPr>
      <w:r w:rsidRPr="00620E92">
        <w:rPr>
          <w:rFonts w:eastAsiaTheme="minorEastAsia"/>
          <w:color w:val="000000" w:themeColor="text1"/>
          <w:kern w:val="24"/>
        </w:rPr>
        <w:t xml:space="preserve">5/   Ogólne dyrektywy wymiaru kary, kary za przestępstwa skarbowe i wykroczenia    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 xml:space="preserve">      skarbowe, czyn ciągły, idealny zbieg czynów.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>6/  Właściwość organów postępowania przygotowawczego.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>7/   Przedawnienie i zatarcie skazania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>8/   Postępowanie mandatowe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 xml:space="preserve"> 9/  Kolokwium zaliczeniowe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>10/ Poprawa kolokwium</w:t>
      </w:r>
    </w:p>
    <w:p w:rsidR="00B92540" w:rsidRPr="00620E92" w:rsidRDefault="00B92540" w:rsidP="00B92540">
      <w:pPr>
        <w:pStyle w:val="NormalnyWeb"/>
        <w:spacing w:beforeAutospacing="0" w:after="0" w:afterAutospacing="0" w:line="216" w:lineRule="auto"/>
        <w:ind w:left="547" w:hanging="547"/>
        <w:jc w:val="both"/>
      </w:pPr>
      <w:r w:rsidRPr="00620E92">
        <w:t>Źródła prawa:</w:t>
      </w:r>
    </w:p>
    <w:p w:rsidR="00B92540" w:rsidRPr="00620E92" w:rsidRDefault="00B92540" w:rsidP="00B92540">
      <w:pPr>
        <w:pStyle w:val="NormalnyWeb"/>
        <w:spacing w:beforeAutospacing="0" w:after="0" w:afterAutospacing="0" w:line="216" w:lineRule="auto"/>
        <w:ind w:left="547" w:hanging="547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620E92">
        <w:rPr>
          <w:rFonts w:eastAsiaTheme="minorEastAsia"/>
          <w:color w:val="000000" w:themeColor="text1"/>
          <w:kern w:val="24"/>
        </w:rPr>
        <w:t xml:space="preserve">Ustawa z dnia 10 września 1999 r.– </w:t>
      </w:r>
      <w:r w:rsidRPr="00620E92">
        <w:rPr>
          <w:rFonts w:eastAsiaTheme="minorEastAsia"/>
          <w:b/>
          <w:bCs/>
          <w:color w:val="000000" w:themeColor="text1"/>
          <w:kern w:val="24"/>
        </w:rPr>
        <w:t>Kodeks karny skarbowy</w:t>
      </w:r>
    </w:p>
    <w:p w:rsidR="00B92540" w:rsidRPr="00620E92" w:rsidRDefault="00431690" w:rsidP="00B92540">
      <w:pPr>
        <w:pStyle w:val="NormalnyWeb"/>
        <w:spacing w:beforeAutospacing="0" w:after="0" w:afterAutospacing="0" w:line="216" w:lineRule="auto"/>
        <w:ind w:left="547" w:hanging="547"/>
        <w:jc w:val="both"/>
      </w:pPr>
      <w:r w:rsidRPr="00431690">
        <w:rPr>
          <w:rFonts w:eastAsiaTheme="minorEastAsia"/>
          <w:color w:val="000000" w:themeColor="text1"/>
          <w:kern w:val="24"/>
        </w:rPr>
        <w:t>(t.j. Dz. U. z 2018 r. poz. 1958 z późn. zm.)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B92540" w:rsidRPr="00620E92">
        <w:rPr>
          <w:rFonts w:eastAsiaTheme="minorEastAsia"/>
          <w:color w:val="000000" w:themeColor="text1"/>
          <w:kern w:val="24"/>
        </w:rPr>
        <w:t xml:space="preserve">w skrócie: </w:t>
      </w:r>
      <w:r w:rsidR="00B92540" w:rsidRPr="00620E92">
        <w:rPr>
          <w:rFonts w:eastAsiaTheme="minorEastAsia"/>
          <w:b/>
          <w:bCs/>
          <w:color w:val="000000" w:themeColor="text1"/>
          <w:kern w:val="24"/>
        </w:rPr>
        <w:t>k.k.s.</w:t>
      </w:r>
    </w:p>
    <w:p w:rsidR="00B92540" w:rsidRPr="00620E92" w:rsidRDefault="00B92540" w:rsidP="00B92540">
      <w:pPr>
        <w:pStyle w:val="NormalnyWeb"/>
        <w:spacing w:beforeAutospacing="0" w:after="0" w:afterAutospacing="0" w:line="216" w:lineRule="auto"/>
        <w:ind w:left="547" w:hanging="547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620E92">
        <w:rPr>
          <w:rFonts w:eastAsiaTheme="minorEastAsia"/>
          <w:color w:val="000000" w:themeColor="text1"/>
          <w:kern w:val="24"/>
        </w:rPr>
        <w:t xml:space="preserve"> Ustawa z dnia 10 września 1999 r. – </w:t>
      </w:r>
      <w:r w:rsidRPr="00620E92">
        <w:rPr>
          <w:rFonts w:eastAsiaTheme="minorEastAsia"/>
          <w:b/>
          <w:bCs/>
          <w:color w:val="000000" w:themeColor="text1"/>
          <w:kern w:val="24"/>
        </w:rPr>
        <w:t>Przepisy wprowadzające Kodeks karny skarbowy</w:t>
      </w:r>
    </w:p>
    <w:p w:rsidR="00B92540" w:rsidRPr="00620E92" w:rsidRDefault="00B92540" w:rsidP="00B92540">
      <w:pPr>
        <w:pStyle w:val="NormalnyWeb"/>
        <w:spacing w:beforeAutospacing="0" w:after="0" w:afterAutospacing="0" w:line="216" w:lineRule="auto"/>
        <w:ind w:left="547" w:hanging="547"/>
        <w:jc w:val="both"/>
        <w:rPr>
          <w:rFonts w:eastAsiaTheme="minorEastAsia"/>
          <w:color w:val="000000" w:themeColor="text1"/>
          <w:kern w:val="24"/>
        </w:rPr>
      </w:pPr>
      <w:r w:rsidRPr="00620E92">
        <w:rPr>
          <w:rFonts w:eastAsiaTheme="minorEastAsia"/>
          <w:color w:val="000000" w:themeColor="text1"/>
          <w:kern w:val="24"/>
        </w:rPr>
        <w:t>(Dz.U. Nr 83, poz. 931).</w:t>
      </w:r>
    </w:p>
    <w:p w:rsidR="00B92540" w:rsidRPr="00620E92" w:rsidRDefault="00B92540" w:rsidP="00B92540">
      <w:pPr>
        <w:pStyle w:val="NormalnyWeb"/>
        <w:spacing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 xml:space="preserve">Ustawa z dnia 6 czerwca 1997 r. – </w:t>
      </w:r>
      <w:r w:rsidRPr="00620E92">
        <w:rPr>
          <w:rFonts w:eastAsiaTheme="minorEastAsia"/>
          <w:b/>
          <w:bCs/>
          <w:color w:val="000000" w:themeColor="text1"/>
          <w:kern w:val="24"/>
        </w:rPr>
        <w:t>Kodeks karny</w:t>
      </w:r>
      <w:r w:rsidRPr="00620E92">
        <w:rPr>
          <w:rFonts w:eastAsiaTheme="minorEastAsia"/>
          <w:color w:val="000000" w:themeColor="text1"/>
          <w:kern w:val="24"/>
        </w:rPr>
        <w:t xml:space="preserve"> (</w:t>
      </w:r>
      <w:r w:rsidR="00431690" w:rsidRPr="00431690">
        <w:rPr>
          <w:rFonts w:eastAsiaTheme="minorEastAsia"/>
          <w:color w:val="000000" w:themeColor="text1"/>
          <w:kern w:val="24"/>
        </w:rPr>
        <w:t>t.j. Dz. U. z 2018 r. poz. 1600 z późn. zm</w:t>
      </w:r>
      <w:r w:rsidRPr="00620E92">
        <w:rPr>
          <w:rFonts w:eastAsiaTheme="minorEastAsia"/>
          <w:color w:val="000000" w:themeColor="text1"/>
          <w:kern w:val="24"/>
        </w:rPr>
        <w:t>), w skrócie: k.k.</w:t>
      </w:r>
    </w:p>
    <w:p w:rsidR="00B92540" w:rsidRPr="00620E92" w:rsidRDefault="00B92540" w:rsidP="00B92540">
      <w:pPr>
        <w:pStyle w:val="NormalnyWeb"/>
        <w:spacing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 xml:space="preserve"> Ustawa z dnia 6 czerwca 1997 r. – </w:t>
      </w:r>
      <w:r w:rsidRPr="00620E92">
        <w:rPr>
          <w:rFonts w:eastAsiaTheme="minorEastAsia"/>
          <w:b/>
          <w:bCs/>
          <w:color w:val="000000" w:themeColor="text1"/>
          <w:kern w:val="24"/>
        </w:rPr>
        <w:t xml:space="preserve">Kodeks postępowania karnego </w:t>
      </w:r>
      <w:r w:rsidRPr="00620E92">
        <w:rPr>
          <w:rFonts w:eastAsiaTheme="minorEastAsia"/>
          <w:color w:val="000000" w:themeColor="text1"/>
          <w:kern w:val="24"/>
        </w:rPr>
        <w:t>(t.j.</w:t>
      </w:r>
      <w:r w:rsidR="00431690" w:rsidRPr="00431690">
        <w:t xml:space="preserve"> </w:t>
      </w:r>
      <w:r w:rsidR="00431690" w:rsidRPr="00431690">
        <w:rPr>
          <w:rFonts w:eastAsiaTheme="minorEastAsia"/>
          <w:color w:val="000000" w:themeColor="text1"/>
          <w:kern w:val="24"/>
        </w:rPr>
        <w:t>Dz. U. z 2018 r. poz. 1987 z późn. zm</w:t>
      </w:r>
      <w:r w:rsidRPr="00620E92">
        <w:rPr>
          <w:rFonts w:eastAsiaTheme="minorEastAsia"/>
          <w:color w:val="000000" w:themeColor="text1"/>
          <w:kern w:val="24"/>
        </w:rPr>
        <w:t>), w skrócie: k.p.k.</w:t>
      </w:r>
    </w:p>
    <w:p w:rsidR="00B92540" w:rsidRPr="00620E92" w:rsidRDefault="00B92540" w:rsidP="00B92540">
      <w:pPr>
        <w:pStyle w:val="NormalnyWeb"/>
        <w:spacing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 xml:space="preserve">Ustawa z dnia 6 czerwca 1997 r. – </w:t>
      </w:r>
      <w:r w:rsidRPr="00620E92">
        <w:rPr>
          <w:rFonts w:eastAsiaTheme="minorEastAsia"/>
          <w:b/>
          <w:bCs/>
          <w:color w:val="000000" w:themeColor="text1"/>
          <w:kern w:val="24"/>
        </w:rPr>
        <w:t>Kodeks karny wykonawczy</w:t>
      </w:r>
      <w:r w:rsidRPr="00620E92">
        <w:rPr>
          <w:rFonts w:eastAsiaTheme="minorEastAsia"/>
          <w:color w:val="000000" w:themeColor="text1"/>
          <w:kern w:val="24"/>
        </w:rPr>
        <w:t xml:space="preserve"> (</w:t>
      </w:r>
      <w:r w:rsidR="00416D91">
        <w:rPr>
          <w:rFonts w:eastAsiaTheme="minorEastAsia"/>
          <w:color w:val="000000" w:themeColor="text1"/>
          <w:kern w:val="24"/>
        </w:rPr>
        <w:t>t.j</w:t>
      </w:r>
      <w:bookmarkStart w:id="1" w:name="_GoBack"/>
      <w:bookmarkEnd w:id="1"/>
      <w:r w:rsidR="00416D91" w:rsidRPr="00416D91">
        <w:rPr>
          <w:rFonts w:eastAsiaTheme="minorEastAsia"/>
          <w:color w:val="000000" w:themeColor="text1"/>
          <w:kern w:val="24"/>
        </w:rPr>
        <w:t>. Dz. U. z 2019 r. poz. 821 z późn. zm.).</w:t>
      </w:r>
      <w:r w:rsidRPr="00620E92">
        <w:rPr>
          <w:rFonts w:eastAsiaTheme="minorEastAsia"/>
          <w:color w:val="000000" w:themeColor="text1"/>
          <w:kern w:val="24"/>
        </w:rPr>
        <w:t>.), w skrócie: k.k.w.</w:t>
      </w:r>
    </w:p>
    <w:p w:rsidR="00B92540" w:rsidRPr="00620E92" w:rsidRDefault="00B92540" w:rsidP="00B92540">
      <w:pPr>
        <w:pStyle w:val="NormalnyWeb"/>
        <w:spacing w:beforeAutospacing="0" w:after="0" w:afterAutospacing="0" w:line="216" w:lineRule="auto"/>
        <w:jc w:val="both"/>
      </w:pPr>
      <w:r w:rsidRPr="00620E92">
        <w:rPr>
          <w:rFonts w:eastAsiaTheme="minorEastAsia"/>
          <w:color w:val="000000" w:themeColor="text1"/>
          <w:kern w:val="24"/>
        </w:rPr>
        <w:t>Ustawy</w:t>
      </w:r>
      <w:r w:rsidRPr="00620E92">
        <w:rPr>
          <w:rFonts w:eastAsiaTheme="minorEastAsia"/>
          <w:bCs/>
          <w:color w:val="000000" w:themeColor="text1"/>
          <w:kern w:val="24"/>
        </w:rPr>
        <w:t xml:space="preserve"> prawa finansowego.</w:t>
      </w:r>
    </w:p>
    <w:p w:rsidR="00B92540" w:rsidRPr="00620E92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b/>
          <w:sz w:val="24"/>
          <w:szCs w:val="24"/>
        </w:rPr>
        <w:t>Proponowana literatura podstawowa</w:t>
      </w:r>
      <w:r w:rsidRPr="00620E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ind w:left="360" w:hanging="360"/>
        <w:jc w:val="both"/>
        <w:rPr>
          <w:b/>
        </w:rPr>
      </w:pPr>
      <w:r w:rsidRPr="00620E92">
        <w:rPr>
          <w:rFonts w:eastAsiaTheme="minorEastAsia"/>
          <w:b/>
          <w:color w:val="000000" w:themeColor="text1"/>
          <w:kern w:val="24"/>
        </w:rPr>
        <w:t xml:space="preserve">Janusz Sawicki, Grzegorz Skowronek 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ind w:left="360" w:hanging="360"/>
        <w:jc w:val="both"/>
      </w:pPr>
      <w:r w:rsidRPr="00620E92">
        <w:rPr>
          <w:rFonts w:eastAsiaTheme="minorEastAsia"/>
          <w:b/>
          <w:bCs/>
          <w:color w:val="000000" w:themeColor="text1"/>
          <w:kern w:val="24"/>
        </w:rPr>
        <w:t>„Prawo karne skarbowe. Zagadnienia materialnoprawne, procesowe i wykonawcze</w:t>
      </w:r>
      <w:r w:rsidRPr="00620E92">
        <w:rPr>
          <w:rFonts w:eastAsiaTheme="minorEastAsia"/>
          <w:color w:val="000000" w:themeColor="text1"/>
          <w:kern w:val="24"/>
        </w:rPr>
        <w:t xml:space="preserve"> ”.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ind w:left="360" w:hanging="360"/>
        <w:jc w:val="both"/>
        <w:rPr>
          <w:rFonts w:eastAsiaTheme="minorEastAsia"/>
          <w:color w:val="000000" w:themeColor="text1"/>
          <w:kern w:val="24"/>
        </w:rPr>
      </w:pPr>
      <w:r w:rsidRPr="00620E92">
        <w:rPr>
          <w:rFonts w:eastAsiaTheme="minorEastAsia"/>
          <w:color w:val="000000" w:themeColor="text1"/>
          <w:kern w:val="24"/>
        </w:rPr>
        <w:t>Warszawa 2017</w:t>
      </w:r>
      <w:r w:rsidRPr="00620E92">
        <w:t>,</w:t>
      </w:r>
      <w:r w:rsidRPr="00620E92">
        <w:rPr>
          <w:rFonts w:eastAsiaTheme="minorEastAsia"/>
          <w:color w:val="000000" w:themeColor="text1"/>
          <w:kern w:val="24"/>
        </w:rPr>
        <w:t xml:space="preserve">Wydawnictwo Wolters Kluwer 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ind w:left="360" w:hanging="360"/>
        <w:jc w:val="both"/>
      </w:pPr>
    </w:p>
    <w:p w:rsidR="00B92540" w:rsidRPr="00620E92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 xml:space="preserve">Proponowana literatura uzupełniająca: 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  <w:rPr>
          <w:b/>
        </w:rPr>
      </w:pPr>
      <w:r w:rsidRPr="00620E92">
        <w:rPr>
          <w:rFonts w:eastAsiaTheme="minorEastAsia"/>
          <w:b/>
          <w:color w:val="000000" w:themeColor="text1"/>
          <w:kern w:val="24"/>
        </w:rPr>
        <w:t>Leszek Wilk, Jarosław Zagrodnik</w:t>
      </w:r>
    </w:p>
    <w:p w:rsidR="00B92540" w:rsidRPr="00620E92" w:rsidRDefault="00B92540" w:rsidP="00B92540">
      <w:pPr>
        <w:pStyle w:val="NormalnyWeb"/>
        <w:spacing w:before="200" w:beforeAutospacing="0" w:after="0" w:afterAutospacing="0" w:line="216" w:lineRule="auto"/>
        <w:jc w:val="both"/>
        <w:rPr>
          <w:rFonts w:eastAsiaTheme="minorEastAsia"/>
          <w:color w:val="000000" w:themeColor="text1"/>
          <w:kern w:val="24"/>
        </w:rPr>
      </w:pPr>
      <w:r w:rsidRPr="00620E92">
        <w:rPr>
          <w:rFonts w:eastAsiaTheme="minorEastAsia"/>
          <w:b/>
          <w:bCs/>
          <w:color w:val="000000" w:themeColor="text1"/>
          <w:kern w:val="24"/>
        </w:rPr>
        <w:t xml:space="preserve">Kodeks karny skarbowy. Komentarz </w:t>
      </w:r>
      <w:r w:rsidRPr="00620E92">
        <w:t>.</w:t>
      </w:r>
      <w:r w:rsidRPr="00620E92">
        <w:rPr>
          <w:rFonts w:eastAsiaTheme="minorEastAsia"/>
          <w:color w:val="000000" w:themeColor="text1"/>
          <w:kern w:val="24"/>
        </w:rPr>
        <w:t xml:space="preserve">wyd. 4 </w:t>
      </w:r>
      <w:r w:rsidRPr="00620E92">
        <w:t>,</w:t>
      </w:r>
      <w:r w:rsidRPr="00620E92">
        <w:rPr>
          <w:rFonts w:eastAsiaTheme="minorEastAsia"/>
          <w:color w:val="000000" w:themeColor="text1"/>
          <w:kern w:val="24"/>
        </w:rPr>
        <w:t>Warszawa 2018</w:t>
      </w:r>
      <w:r w:rsidRPr="00620E92">
        <w:t>,</w:t>
      </w:r>
      <w:r w:rsidRPr="00620E92">
        <w:rPr>
          <w:rFonts w:eastAsiaTheme="minorEastAsia"/>
          <w:color w:val="000000" w:themeColor="text1"/>
          <w:kern w:val="24"/>
        </w:rPr>
        <w:t>Wydawnictwo C.H.BECK.</w:t>
      </w:r>
    </w:p>
    <w:p w:rsidR="00B92540" w:rsidRPr="00620E92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540" w:rsidRPr="00620E92" w:rsidRDefault="00B92540" w:rsidP="00B92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0E92">
        <w:rPr>
          <w:rFonts w:ascii="Times New Roman" w:hAnsi="Times New Roman" w:cs="Times New Roman"/>
          <w:sz w:val="24"/>
          <w:szCs w:val="24"/>
        </w:rPr>
        <w:t>W kwestiach nieuregulowanych powyżej proszę o indywidualny kontakt z prowadzącym.</w:t>
      </w:r>
    </w:p>
    <w:p w:rsidR="001D6B15" w:rsidRDefault="001D6B15"/>
    <w:sectPr w:rsidR="001D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06C9C"/>
    <w:multiLevelType w:val="hybridMultilevel"/>
    <w:tmpl w:val="4218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40"/>
    <w:rsid w:val="001D6B15"/>
    <w:rsid w:val="00416D91"/>
    <w:rsid w:val="00431690"/>
    <w:rsid w:val="00B9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B683"/>
  <w15:chartTrackingRefBased/>
  <w15:docId w15:val="{D1AC3125-26D6-4044-98F7-83034A7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2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5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pro2034</dc:creator>
  <cp:keywords/>
  <dc:description/>
  <cp:lastModifiedBy>pro2034</cp:lastModifiedBy>
  <cp:revision>2</cp:revision>
  <dcterms:created xsi:type="dcterms:W3CDTF">2019-10-08T19:18:00Z</dcterms:created>
  <dcterms:modified xsi:type="dcterms:W3CDTF">2019-10-08T19:33:00Z</dcterms:modified>
</cp:coreProperties>
</file>