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9E" w:rsidRPr="00DC3C31" w:rsidRDefault="00C97335" w:rsidP="00DC3C31">
      <w:pPr>
        <w:jc w:val="center"/>
        <w:rPr>
          <w:b/>
        </w:rPr>
      </w:pPr>
      <w:r w:rsidRPr="00DC3C31">
        <w:rPr>
          <w:b/>
        </w:rPr>
        <w:t>Lista zagadnień</w:t>
      </w:r>
      <w:r w:rsidR="00DC3C31">
        <w:rPr>
          <w:b/>
        </w:rPr>
        <w:t xml:space="preserve"> – WDP 2017/2018</w:t>
      </w:r>
    </w:p>
    <w:p w:rsidR="00BB647E" w:rsidRPr="00DC3C31" w:rsidRDefault="00BB647E" w:rsidP="00C97335">
      <w:pPr>
        <w:pStyle w:val="Akapitzlist"/>
        <w:numPr>
          <w:ilvl w:val="0"/>
          <w:numId w:val="1"/>
        </w:numPr>
        <w:rPr>
          <w:b/>
        </w:rPr>
      </w:pPr>
      <w:r w:rsidRPr="00DC3C31">
        <w:rPr>
          <w:b/>
        </w:rPr>
        <w:t>Normy</w:t>
      </w:r>
      <w:r w:rsidR="00D0109F" w:rsidRPr="00DC3C31">
        <w:rPr>
          <w:b/>
        </w:rPr>
        <w:t xml:space="preserve"> i przepisy</w:t>
      </w:r>
    </w:p>
    <w:p w:rsidR="00C97335" w:rsidRDefault="00C97335" w:rsidP="00BB647E">
      <w:pPr>
        <w:pStyle w:val="Akapitzlist"/>
        <w:numPr>
          <w:ilvl w:val="1"/>
          <w:numId w:val="1"/>
        </w:numPr>
      </w:pPr>
      <w:r>
        <w:t xml:space="preserve">Norma a przepisy prawa </w:t>
      </w:r>
    </w:p>
    <w:p w:rsidR="00C97335" w:rsidRDefault="00833256" w:rsidP="00BB647E">
      <w:pPr>
        <w:pStyle w:val="Akapitzlist"/>
        <w:numPr>
          <w:ilvl w:val="1"/>
          <w:numId w:val="1"/>
        </w:numPr>
      </w:pPr>
      <w:r>
        <w:t>Elementy norm (</w:t>
      </w:r>
      <w:r w:rsidRPr="00DC3C31">
        <w:rPr>
          <w:i/>
        </w:rPr>
        <w:t>hipoteza: adresat i z</w:t>
      </w:r>
      <w:r w:rsidR="00BB647E" w:rsidRPr="00DC3C31">
        <w:rPr>
          <w:i/>
        </w:rPr>
        <w:t xml:space="preserve">akres zastosowania, dyspozycja - </w:t>
      </w:r>
      <w:r w:rsidRPr="00DC3C31">
        <w:rPr>
          <w:i/>
        </w:rPr>
        <w:t>zakres normowania</w:t>
      </w:r>
      <w:r>
        <w:t>)</w:t>
      </w:r>
    </w:p>
    <w:p w:rsidR="00BB647E" w:rsidRDefault="00BB647E" w:rsidP="00BB647E">
      <w:pPr>
        <w:pStyle w:val="Akapitzlist"/>
        <w:numPr>
          <w:ilvl w:val="1"/>
          <w:numId w:val="1"/>
        </w:numPr>
      </w:pPr>
      <w:r>
        <w:t>Norma indywidualno-konkretna a norma generalno-abstrakcyjna</w:t>
      </w:r>
    </w:p>
    <w:p w:rsidR="00BB647E" w:rsidRDefault="00D0109F" w:rsidP="00BB647E">
      <w:pPr>
        <w:pStyle w:val="Akapitzlist"/>
        <w:numPr>
          <w:ilvl w:val="1"/>
          <w:numId w:val="1"/>
        </w:numPr>
      </w:pPr>
      <w:r>
        <w:t>Norma sankcjonowana a norma sankcjonująca</w:t>
      </w:r>
    </w:p>
    <w:p w:rsidR="00D0109F" w:rsidRDefault="00D0109F" w:rsidP="00D0109F">
      <w:pPr>
        <w:pStyle w:val="Akapitzlist"/>
        <w:numPr>
          <w:ilvl w:val="1"/>
          <w:numId w:val="1"/>
        </w:numPr>
      </w:pPr>
      <w:r>
        <w:t>Rodzaje przepisów (</w:t>
      </w:r>
      <w:proofErr w:type="spellStart"/>
      <w:r w:rsidRPr="00DC3C31">
        <w:rPr>
          <w:i/>
        </w:rPr>
        <w:t>ius</w:t>
      </w:r>
      <w:proofErr w:type="spellEnd"/>
      <w:r w:rsidRPr="00DC3C31">
        <w:rPr>
          <w:i/>
        </w:rPr>
        <w:t xml:space="preserve"> </w:t>
      </w:r>
      <w:proofErr w:type="spellStart"/>
      <w:r w:rsidRPr="00DC3C31">
        <w:rPr>
          <w:i/>
        </w:rPr>
        <w:t>cogens</w:t>
      </w:r>
      <w:proofErr w:type="spellEnd"/>
      <w:r w:rsidRPr="00DC3C31">
        <w:rPr>
          <w:i/>
        </w:rPr>
        <w:t xml:space="preserve"> / </w:t>
      </w:r>
      <w:proofErr w:type="spellStart"/>
      <w:r w:rsidRPr="00DC3C31">
        <w:rPr>
          <w:i/>
        </w:rPr>
        <w:t>ius</w:t>
      </w:r>
      <w:proofErr w:type="spellEnd"/>
      <w:r w:rsidRPr="00DC3C31">
        <w:rPr>
          <w:i/>
        </w:rPr>
        <w:t xml:space="preserve"> </w:t>
      </w:r>
      <w:proofErr w:type="spellStart"/>
      <w:r w:rsidRPr="00DC3C31">
        <w:rPr>
          <w:i/>
        </w:rPr>
        <w:t>dispositivum</w:t>
      </w:r>
      <w:proofErr w:type="spellEnd"/>
      <w:r w:rsidRPr="00DC3C31">
        <w:rPr>
          <w:i/>
        </w:rPr>
        <w:t>; normy prawne / zasady / normy programowe;  domniemanie prawne; fikcja prawna;  klauzula generalna</w:t>
      </w:r>
      <w:r w:rsidR="00DC3C31">
        <w:rPr>
          <w:i/>
        </w:rPr>
        <w:t>)</w:t>
      </w:r>
    </w:p>
    <w:p w:rsidR="009B1D65" w:rsidRPr="00DC3C31" w:rsidRDefault="009B1D65" w:rsidP="00D0109F">
      <w:pPr>
        <w:pStyle w:val="Akapitzlist"/>
        <w:numPr>
          <w:ilvl w:val="0"/>
          <w:numId w:val="1"/>
        </w:numPr>
        <w:rPr>
          <w:b/>
        </w:rPr>
      </w:pPr>
      <w:r w:rsidRPr="00DC3C31">
        <w:rPr>
          <w:b/>
        </w:rPr>
        <w:t>Obowiązywanie prawa</w:t>
      </w:r>
    </w:p>
    <w:p w:rsidR="00D0109F" w:rsidRDefault="00D0109F" w:rsidP="009B1D65">
      <w:pPr>
        <w:pStyle w:val="Akapitzlist"/>
        <w:numPr>
          <w:ilvl w:val="1"/>
          <w:numId w:val="1"/>
        </w:numPr>
      </w:pPr>
      <w:r>
        <w:t>Uzasadnienie obowiązywania norm postępowania (</w:t>
      </w:r>
      <w:r w:rsidRPr="00DC3C31">
        <w:rPr>
          <w:i/>
        </w:rPr>
        <w:t xml:space="preserve">uzasadnienie </w:t>
      </w:r>
      <w:proofErr w:type="spellStart"/>
      <w:r w:rsidRPr="00DC3C31">
        <w:rPr>
          <w:i/>
        </w:rPr>
        <w:t>tetyczne</w:t>
      </w:r>
      <w:proofErr w:type="spellEnd"/>
      <w:r w:rsidRPr="00DC3C31">
        <w:rPr>
          <w:i/>
        </w:rPr>
        <w:t>, aksjologiczne, faktyczne</w:t>
      </w:r>
      <w:r>
        <w:t>)</w:t>
      </w:r>
    </w:p>
    <w:p w:rsidR="00D0109F" w:rsidRDefault="00D0109F" w:rsidP="009B1D65">
      <w:pPr>
        <w:pStyle w:val="Akapitzlist"/>
        <w:numPr>
          <w:ilvl w:val="1"/>
          <w:numId w:val="1"/>
        </w:numPr>
      </w:pPr>
      <w:r>
        <w:t>Obowiązywanie normy</w:t>
      </w:r>
      <w:r w:rsidR="0087739B">
        <w:t xml:space="preserve"> a wejście jej w życie</w:t>
      </w:r>
    </w:p>
    <w:p w:rsidR="00426D2A" w:rsidRDefault="00426D2A" w:rsidP="009B1D65">
      <w:pPr>
        <w:pStyle w:val="Akapitzlist"/>
        <w:numPr>
          <w:ilvl w:val="1"/>
          <w:numId w:val="1"/>
        </w:numPr>
      </w:pPr>
      <w:r>
        <w:t>Obliczanie terminu wchodzenia ustawy w życie (</w:t>
      </w:r>
      <w:r w:rsidRPr="00DC3C31">
        <w:rPr>
          <w:i/>
        </w:rPr>
        <w:t>vide: ustawa o ogłaszaniu aktów normatywnych</w:t>
      </w:r>
      <w:r>
        <w:t>)</w:t>
      </w:r>
    </w:p>
    <w:p w:rsidR="00426D2A" w:rsidRDefault="00426D2A" w:rsidP="009B1D65">
      <w:pPr>
        <w:pStyle w:val="Akapitzlist"/>
        <w:numPr>
          <w:ilvl w:val="1"/>
          <w:numId w:val="1"/>
        </w:numPr>
      </w:pPr>
      <w:r>
        <w:t xml:space="preserve">Pojęcie systemu prawa i jego cechy </w:t>
      </w:r>
      <w:r w:rsidR="009E4197">
        <w:t>(</w:t>
      </w:r>
      <w:r w:rsidR="009E4197" w:rsidRPr="00DC3C31">
        <w:rPr>
          <w:i/>
        </w:rPr>
        <w:t>spójność: normy sprzeczne, przeciwne, niezgodnie prakseologicznie i zupełność: luki</w:t>
      </w:r>
      <w:r w:rsidR="009E4197">
        <w:t>)</w:t>
      </w:r>
    </w:p>
    <w:p w:rsidR="00DC3C31" w:rsidRPr="006F49E6" w:rsidRDefault="00DC3C31" w:rsidP="009B1D65">
      <w:pPr>
        <w:pStyle w:val="Akapitzlist"/>
        <w:numPr>
          <w:ilvl w:val="1"/>
          <w:numId w:val="1"/>
        </w:numPr>
        <w:rPr>
          <w:lang w:val="en-US"/>
        </w:rPr>
      </w:pPr>
      <w:proofErr w:type="spellStart"/>
      <w:r w:rsidRPr="006F49E6">
        <w:rPr>
          <w:lang w:val="en-US"/>
        </w:rPr>
        <w:t>Reguły</w:t>
      </w:r>
      <w:proofErr w:type="spellEnd"/>
      <w:r w:rsidRPr="006F49E6">
        <w:rPr>
          <w:lang w:val="en-US"/>
        </w:rPr>
        <w:t xml:space="preserve"> </w:t>
      </w:r>
      <w:proofErr w:type="spellStart"/>
      <w:r w:rsidRPr="006F49E6">
        <w:rPr>
          <w:lang w:val="en-US"/>
        </w:rPr>
        <w:t>kolizyjne</w:t>
      </w:r>
      <w:proofErr w:type="spellEnd"/>
      <w:r w:rsidRPr="006F49E6">
        <w:rPr>
          <w:lang w:val="en-US"/>
        </w:rPr>
        <w:t xml:space="preserve"> (</w:t>
      </w:r>
      <w:proofErr w:type="spellStart"/>
      <w:r w:rsidRPr="006F49E6">
        <w:rPr>
          <w:i/>
          <w:lang w:val="en-US"/>
        </w:rPr>
        <w:t>lex</w:t>
      </w:r>
      <w:proofErr w:type="spellEnd"/>
      <w:r w:rsidRPr="006F49E6">
        <w:rPr>
          <w:i/>
          <w:lang w:val="en-US"/>
        </w:rPr>
        <w:t xml:space="preserve"> specialis </w:t>
      </w:r>
      <w:proofErr w:type="spellStart"/>
      <w:r w:rsidRPr="006F49E6">
        <w:rPr>
          <w:i/>
          <w:lang w:val="en-US"/>
        </w:rPr>
        <w:t>derogat</w:t>
      </w:r>
      <w:proofErr w:type="spellEnd"/>
      <w:r w:rsidRPr="006F49E6">
        <w:rPr>
          <w:i/>
          <w:lang w:val="en-US"/>
        </w:rPr>
        <w:t xml:space="preserve"> </w:t>
      </w:r>
      <w:proofErr w:type="spellStart"/>
      <w:r w:rsidRPr="006F49E6">
        <w:rPr>
          <w:i/>
          <w:lang w:val="en-US"/>
        </w:rPr>
        <w:t>legi</w:t>
      </w:r>
      <w:proofErr w:type="spellEnd"/>
      <w:r w:rsidRPr="006F49E6">
        <w:rPr>
          <w:i/>
          <w:lang w:val="en-US"/>
        </w:rPr>
        <w:t xml:space="preserve"> </w:t>
      </w:r>
      <w:proofErr w:type="spellStart"/>
      <w:r w:rsidRPr="006F49E6">
        <w:rPr>
          <w:i/>
          <w:lang w:val="en-US"/>
        </w:rPr>
        <w:t>generali</w:t>
      </w:r>
      <w:proofErr w:type="spellEnd"/>
      <w:r w:rsidRPr="006F49E6">
        <w:rPr>
          <w:i/>
          <w:lang w:val="en-US"/>
        </w:rPr>
        <w:t xml:space="preserve">; </w:t>
      </w:r>
      <w:proofErr w:type="spellStart"/>
      <w:r w:rsidRPr="006F49E6">
        <w:rPr>
          <w:i/>
          <w:lang w:val="en-US"/>
        </w:rPr>
        <w:t>lex</w:t>
      </w:r>
      <w:proofErr w:type="spellEnd"/>
      <w:r w:rsidRPr="006F49E6">
        <w:rPr>
          <w:i/>
          <w:lang w:val="en-US"/>
        </w:rPr>
        <w:t xml:space="preserve"> posterior </w:t>
      </w:r>
      <w:proofErr w:type="spellStart"/>
      <w:r w:rsidRPr="006F49E6">
        <w:rPr>
          <w:i/>
          <w:lang w:val="en-US"/>
        </w:rPr>
        <w:t>derogat</w:t>
      </w:r>
      <w:proofErr w:type="spellEnd"/>
      <w:r w:rsidRPr="006F49E6">
        <w:rPr>
          <w:i/>
          <w:lang w:val="en-US"/>
        </w:rPr>
        <w:t xml:space="preserve"> </w:t>
      </w:r>
      <w:proofErr w:type="spellStart"/>
      <w:r w:rsidRPr="006F49E6">
        <w:rPr>
          <w:i/>
          <w:lang w:val="en-US"/>
        </w:rPr>
        <w:t>legi</w:t>
      </w:r>
      <w:proofErr w:type="spellEnd"/>
      <w:r w:rsidRPr="006F49E6">
        <w:rPr>
          <w:i/>
          <w:lang w:val="en-US"/>
        </w:rPr>
        <w:t xml:space="preserve"> priori; </w:t>
      </w:r>
      <w:proofErr w:type="spellStart"/>
      <w:r w:rsidRPr="006F49E6">
        <w:rPr>
          <w:i/>
          <w:lang w:val="en-US"/>
        </w:rPr>
        <w:t>lex</w:t>
      </w:r>
      <w:proofErr w:type="spellEnd"/>
      <w:r w:rsidR="006F49E6" w:rsidRPr="006F49E6">
        <w:rPr>
          <w:i/>
          <w:lang w:val="en-US"/>
        </w:rPr>
        <w:t xml:space="preserve"> superior </w:t>
      </w:r>
      <w:proofErr w:type="spellStart"/>
      <w:r w:rsidR="006F49E6" w:rsidRPr="006F49E6">
        <w:rPr>
          <w:i/>
          <w:lang w:val="en-US"/>
        </w:rPr>
        <w:t>derogat</w:t>
      </w:r>
      <w:proofErr w:type="spellEnd"/>
      <w:r w:rsidR="006F49E6" w:rsidRPr="006F49E6">
        <w:rPr>
          <w:i/>
          <w:lang w:val="en-US"/>
        </w:rPr>
        <w:t xml:space="preserve"> </w:t>
      </w:r>
      <w:proofErr w:type="spellStart"/>
      <w:r w:rsidR="006F49E6" w:rsidRPr="006F49E6">
        <w:rPr>
          <w:i/>
          <w:lang w:val="en-US"/>
        </w:rPr>
        <w:t>legi</w:t>
      </w:r>
      <w:proofErr w:type="spellEnd"/>
      <w:r w:rsidR="006F49E6" w:rsidRPr="006F49E6">
        <w:rPr>
          <w:i/>
          <w:lang w:val="en-US"/>
        </w:rPr>
        <w:t xml:space="preserve"> </w:t>
      </w:r>
      <w:proofErr w:type="spellStart"/>
      <w:r w:rsidR="006F49E6" w:rsidRPr="006F49E6">
        <w:rPr>
          <w:i/>
          <w:lang w:val="en-US"/>
        </w:rPr>
        <w:t>inferiori</w:t>
      </w:r>
      <w:proofErr w:type="spellEnd"/>
      <w:r w:rsidR="006F49E6" w:rsidRPr="006F49E6">
        <w:rPr>
          <w:i/>
          <w:lang w:val="en-US"/>
        </w:rPr>
        <w:t xml:space="preserve">) </w:t>
      </w:r>
    </w:p>
    <w:p w:rsidR="009B1D65" w:rsidRPr="00DC3C31" w:rsidRDefault="00734553" w:rsidP="009B1D65">
      <w:pPr>
        <w:pStyle w:val="Akapitzlist"/>
        <w:numPr>
          <w:ilvl w:val="0"/>
          <w:numId w:val="1"/>
        </w:numPr>
        <w:rPr>
          <w:b/>
        </w:rPr>
      </w:pPr>
      <w:r w:rsidRPr="00DC3C31">
        <w:rPr>
          <w:b/>
        </w:rPr>
        <w:t>Akty normatywne</w:t>
      </w:r>
    </w:p>
    <w:p w:rsidR="009B1D65" w:rsidRDefault="009B1D65" w:rsidP="00734553">
      <w:pPr>
        <w:pStyle w:val="Akapitzlist"/>
        <w:numPr>
          <w:ilvl w:val="1"/>
          <w:numId w:val="1"/>
        </w:numPr>
      </w:pPr>
      <w:r>
        <w:t>Akt normatywny a akt prawny</w:t>
      </w:r>
    </w:p>
    <w:p w:rsidR="00734553" w:rsidRDefault="00734553" w:rsidP="00734553">
      <w:pPr>
        <w:pStyle w:val="Akapitzlist"/>
        <w:numPr>
          <w:ilvl w:val="1"/>
          <w:numId w:val="1"/>
        </w:numPr>
      </w:pPr>
      <w:r>
        <w:t>Budowa</w:t>
      </w:r>
      <w:r w:rsidR="000C234D">
        <w:t xml:space="preserve"> i elementy</w:t>
      </w:r>
      <w:r>
        <w:t xml:space="preserve"> aktu normatywnego (</w:t>
      </w:r>
      <w:r w:rsidRPr="00DC3C31">
        <w:rPr>
          <w:i/>
        </w:rPr>
        <w:t xml:space="preserve">tytuł, przepisy merytoryczne, nowelizujące, przejściowe, </w:t>
      </w:r>
      <w:r w:rsidR="00DC3C31" w:rsidRPr="00DC3C31">
        <w:rPr>
          <w:i/>
        </w:rPr>
        <w:t>dostosowujące</w:t>
      </w:r>
      <w:r w:rsidRPr="00DC3C31">
        <w:rPr>
          <w:i/>
        </w:rPr>
        <w:t>, uchylające, o wejściu w życiu</w:t>
      </w:r>
      <w:r>
        <w:t>)</w:t>
      </w:r>
    </w:p>
    <w:p w:rsidR="00734553" w:rsidRDefault="000C234D" w:rsidP="00734553">
      <w:pPr>
        <w:pStyle w:val="Akapitzlist"/>
        <w:numPr>
          <w:ilvl w:val="1"/>
          <w:numId w:val="1"/>
        </w:numPr>
      </w:pPr>
      <w:r>
        <w:t>Ustawa w sensie formalnym a ustawa w sensie materialnym</w:t>
      </w:r>
    </w:p>
    <w:p w:rsidR="000C234D" w:rsidRDefault="000C234D" w:rsidP="00734553">
      <w:pPr>
        <w:pStyle w:val="Akapitzlist"/>
        <w:numPr>
          <w:ilvl w:val="1"/>
          <w:numId w:val="1"/>
        </w:numPr>
      </w:pPr>
      <w:r>
        <w:t>Materia ustawowa a nieograniczony zakres normowania ustawy</w:t>
      </w:r>
    </w:p>
    <w:p w:rsidR="000C234D" w:rsidRDefault="00D03981" w:rsidP="00734553">
      <w:pPr>
        <w:pStyle w:val="Akapitzlist"/>
        <w:numPr>
          <w:ilvl w:val="1"/>
          <w:numId w:val="1"/>
        </w:numPr>
      </w:pPr>
      <w:r>
        <w:t>Akt wykonawczy a ustawa (</w:t>
      </w:r>
      <w:r w:rsidRPr="00DC3C31">
        <w:rPr>
          <w:i/>
        </w:rPr>
        <w:t>więź kompetencyjna i funkcjonalna</w:t>
      </w:r>
      <w:r>
        <w:t>)</w:t>
      </w:r>
    </w:p>
    <w:p w:rsidR="00D03981" w:rsidRDefault="00D03981" w:rsidP="00D03981">
      <w:pPr>
        <w:pStyle w:val="Akapitzlist"/>
        <w:numPr>
          <w:ilvl w:val="1"/>
          <w:numId w:val="1"/>
        </w:numPr>
      </w:pPr>
      <w:r>
        <w:t>Akty powszechnie obowiązujące a akty o charakterze wewnętrznym</w:t>
      </w:r>
    </w:p>
    <w:p w:rsidR="00593CBC" w:rsidRDefault="00593CBC" w:rsidP="00D03981">
      <w:pPr>
        <w:pStyle w:val="Akapitzlist"/>
        <w:numPr>
          <w:ilvl w:val="1"/>
          <w:numId w:val="1"/>
        </w:numPr>
      </w:pPr>
      <w:r>
        <w:t>Więzi którymi połączone są akty normatywne (</w:t>
      </w:r>
      <w:r w:rsidRPr="00DC3C31">
        <w:rPr>
          <w:i/>
        </w:rPr>
        <w:t>więź kompetencyjna, treściowa, derogacyjna</w:t>
      </w:r>
      <w:r>
        <w:t>)</w:t>
      </w:r>
    </w:p>
    <w:p w:rsidR="00593CBC" w:rsidRPr="00DC3C31" w:rsidRDefault="00593CBC" w:rsidP="00D0109F">
      <w:pPr>
        <w:pStyle w:val="Akapitzlist"/>
        <w:numPr>
          <w:ilvl w:val="0"/>
          <w:numId w:val="1"/>
        </w:numPr>
        <w:rPr>
          <w:b/>
        </w:rPr>
      </w:pPr>
      <w:r w:rsidRPr="00DC3C31">
        <w:rPr>
          <w:b/>
        </w:rPr>
        <w:t>Wykładnia i wnioskowania prawnicze</w:t>
      </w:r>
    </w:p>
    <w:p w:rsidR="009B1D65" w:rsidRDefault="00593CBC" w:rsidP="00593CBC">
      <w:pPr>
        <w:pStyle w:val="Akapitzlist"/>
        <w:numPr>
          <w:ilvl w:val="1"/>
          <w:numId w:val="1"/>
        </w:numPr>
      </w:pPr>
      <w:r>
        <w:t>Fazy wykładni i dyrektywy wykładni (</w:t>
      </w:r>
      <w:r w:rsidRPr="00DC3C31">
        <w:rPr>
          <w:i/>
        </w:rPr>
        <w:t>językowa, systemowa, funkcjonalna</w:t>
      </w:r>
      <w:r>
        <w:t>)</w:t>
      </w:r>
    </w:p>
    <w:p w:rsidR="00593CBC" w:rsidRDefault="00593CBC" w:rsidP="00593CBC">
      <w:pPr>
        <w:pStyle w:val="Akapitzlist"/>
        <w:numPr>
          <w:ilvl w:val="1"/>
          <w:numId w:val="1"/>
        </w:numPr>
      </w:pPr>
      <w:r>
        <w:t>Wykładnia prawa a wnioskowania prawnicze</w:t>
      </w:r>
    </w:p>
    <w:p w:rsidR="00593CBC" w:rsidRDefault="00593CBC" w:rsidP="00593CBC">
      <w:pPr>
        <w:pStyle w:val="Akapitzlist"/>
        <w:numPr>
          <w:ilvl w:val="1"/>
          <w:numId w:val="1"/>
        </w:numPr>
      </w:pPr>
      <w:r>
        <w:t>Wnioskowania oparte na wynikaniu normy z normy</w:t>
      </w:r>
    </w:p>
    <w:p w:rsidR="00593CBC" w:rsidRDefault="00593CBC" w:rsidP="00593CBC">
      <w:pPr>
        <w:pStyle w:val="Akapitzlist"/>
        <w:numPr>
          <w:ilvl w:val="2"/>
          <w:numId w:val="1"/>
        </w:numPr>
      </w:pPr>
      <w:r>
        <w:t>Wnioskowania oparte na logicznym wynikaniu normy z normy</w:t>
      </w:r>
    </w:p>
    <w:p w:rsidR="00593CBC" w:rsidRDefault="00593CBC" w:rsidP="00593CBC">
      <w:pPr>
        <w:pStyle w:val="Akapitzlist"/>
        <w:numPr>
          <w:ilvl w:val="2"/>
          <w:numId w:val="1"/>
        </w:numPr>
      </w:pPr>
      <w:r>
        <w:t>Wnioskowania oparte na instrumentalnym wynikaniu normy z normy</w:t>
      </w:r>
    </w:p>
    <w:p w:rsidR="00593CBC" w:rsidRDefault="00593CBC" w:rsidP="00593CBC">
      <w:pPr>
        <w:pStyle w:val="Akapitzlist"/>
        <w:numPr>
          <w:ilvl w:val="1"/>
          <w:numId w:val="1"/>
        </w:numPr>
      </w:pPr>
      <w:r>
        <w:t>Wnioskowania oparte na założeniu konsekwentności ocen prawodawcy</w:t>
      </w:r>
    </w:p>
    <w:p w:rsidR="00593CBC" w:rsidRDefault="00593CBC" w:rsidP="00593CBC">
      <w:pPr>
        <w:pStyle w:val="Akapitzlist"/>
        <w:numPr>
          <w:ilvl w:val="2"/>
          <w:numId w:val="1"/>
        </w:numPr>
      </w:pPr>
      <w:r>
        <w:t xml:space="preserve">a </w:t>
      </w:r>
      <w:proofErr w:type="spellStart"/>
      <w:r>
        <w:t>simili</w:t>
      </w:r>
      <w:proofErr w:type="spellEnd"/>
      <w:r w:rsidR="00DC3C31">
        <w:t xml:space="preserve"> (</w:t>
      </w:r>
      <w:r w:rsidR="00DC3C31" w:rsidRPr="00DC3C31">
        <w:rPr>
          <w:i/>
        </w:rPr>
        <w:t>z uwzględnieniem kiedy zakazane jest to wnioskowanie</w:t>
      </w:r>
      <w:r w:rsidR="00DC3C31">
        <w:t>)</w:t>
      </w:r>
    </w:p>
    <w:p w:rsidR="00593CBC" w:rsidRDefault="00593CBC" w:rsidP="00593CBC">
      <w:pPr>
        <w:pStyle w:val="Akapitzlist"/>
        <w:numPr>
          <w:ilvl w:val="3"/>
          <w:numId w:val="1"/>
        </w:numPr>
      </w:pPr>
      <w:r>
        <w:t xml:space="preserve">analogia </w:t>
      </w:r>
      <w:proofErr w:type="spellStart"/>
      <w:r>
        <w:t>iuris</w:t>
      </w:r>
      <w:proofErr w:type="spellEnd"/>
    </w:p>
    <w:p w:rsidR="00593CBC" w:rsidRDefault="00593CBC" w:rsidP="00593CBC">
      <w:pPr>
        <w:pStyle w:val="Akapitzlist"/>
        <w:numPr>
          <w:ilvl w:val="3"/>
          <w:numId w:val="1"/>
        </w:numPr>
      </w:pPr>
      <w:r>
        <w:t xml:space="preserve">analogia </w:t>
      </w:r>
      <w:proofErr w:type="spellStart"/>
      <w:r>
        <w:t>legis</w:t>
      </w:r>
      <w:proofErr w:type="spellEnd"/>
    </w:p>
    <w:p w:rsidR="00593CBC" w:rsidRDefault="00593CBC" w:rsidP="00593CBC">
      <w:pPr>
        <w:pStyle w:val="Akapitzlist"/>
        <w:numPr>
          <w:ilvl w:val="2"/>
          <w:numId w:val="1"/>
        </w:numPr>
      </w:pPr>
      <w:r>
        <w:t xml:space="preserve">a </w:t>
      </w:r>
      <w:proofErr w:type="spellStart"/>
      <w:r>
        <w:t>contraio</w:t>
      </w:r>
      <w:proofErr w:type="spellEnd"/>
    </w:p>
    <w:p w:rsidR="00593CBC" w:rsidRDefault="00593CBC" w:rsidP="00593CBC">
      <w:pPr>
        <w:pStyle w:val="Akapitzlist"/>
        <w:numPr>
          <w:ilvl w:val="2"/>
          <w:numId w:val="1"/>
        </w:numPr>
      </w:pPr>
      <w:proofErr w:type="spellStart"/>
      <w:r>
        <w:t>argumenta</w:t>
      </w:r>
      <w:proofErr w:type="spellEnd"/>
      <w:r>
        <w:t xml:space="preserve"> a </w:t>
      </w:r>
      <w:proofErr w:type="spellStart"/>
      <w:r>
        <w:t>fortiori</w:t>
      </w:r>
      <w:proofErr w:type="spellEnd"/>
      <w:r>
        <w:t>:</w:t>
      </w:r>
    </w:p>
    <w:p w:rsidR="00593CBC" w:rsidRDefault="00593CBC" w:rsidP="00593CBC">
      <w:pPr>
        <w:pStyle w:val="Akapitzlist"/>
        <w:numPr>
          <w:ilvl w:val="3"/>
          <w:numId w:val="1"/>
        </w:numPr>
      </w:pPr>
      <w:r>
        <w:t xml:space="preserve">argumentum a </w:t>
      </w:r>
      <w:proofErr w:type="spellStart"/>
      <w:r>
        <w:t>minori</w:t>
      </w:r>
      <w:proofErr w:type="spellEnd"/>
      <w:r>
        <w:t xml:space="preserve"> ad </w:t>
      </w:r>
      <w:proofErr w:type="spellStart"/>
      <w:r>
        <w:t>maius</w:t>
      </w:r>
      <w:proofErr w:type="spellEnd"/>
    </w:p>
    <w:p w:rsidR="00593CBC" w:rsidRDefault="00593CBC" w:rsidP="0087739B">
      <w:pPr>
        <w:pStyle w:val="Akapitzlist"/>
        <w:numPr>
          <w:ilvl w:val="3"/>
          <w:numId w:val="1"/>
        </w:numPr>
      </w:pPr>
      <w:r>
        <w:t xml:space="preserve">argumentum a </w:t>
      </w:r>
      <w:proofErr w:type="spellStart"/>
      <w:r>
        <w:t>maiori</w:t>
      </w:r>
      <w:proofErr w:type="spellEnd"/>
      <w:r>
        <w:t xml:space="preserve"> ad minus</w:t>
      </w:r>
    </w:p>
    <w:sectPr w:rsidR="00593CBC" w:rsidSect="00D6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15AE7"/>
    <w:multiLevelType w:val="hybridMultilevel"/>
    <w:tmpl w:val="7816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97335"/>
    <w:rsid w:val="000C234D"/>
    <w:rsid w:val="00426D2A"/>
    <w:rsid w:val="00593CBC"/>
    <w:rsid w:val="006F49E6"/>
    <w:rsid w:val="00734553"/>
    <w:rsid w:val="00833256"/>
    <w:rsid w:val="0087739B"/>
    <w:rsid w:val="009B1D65"/>
    <w:rsid w:val="009E4197"/>
    <w:rsid w:val="00BB647E"/>
    <w:rsid w:val="00C97335"/>
    <w:rsid w:val="00D0109F"/>
    <w:rsid w:val="00D03981"/>
    <w:rsid w:val="00D6549E"/>
    <w:rsid w:val="00DC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Zomerski</dc:creator>
  <cp:lastModifiedBy>Wojciech Zomerski</cp:lastModifiedBy>
  <cp:revision>1</cp:revision>
  <dcterms:created xsi:type="dcterms:W3CDTF">2018-11-28T19:01:00Z</dcterms:created>
  <dcterms:modified xsi:type="dcterms:W3CDTF">2018-11-28T19:20:00Z</dcterms:modified>
</cp:coreProperties>
</file>