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7C" w:rsidRDefault="0030647C" w:rsidP="00045169">
      <w:pPr>
        <w:jc w:val="both"/>
        <w:rPr>
          <w:rFonts w:ascii="Book Antiqua" w:hAnsi="Book Antiqua"/>
        </w:rPr>
      </w:pPr>
      <w:r w:rsidRPr="0030647C">
        <w:rPr>
          <w:rFonts w:ascii="Book Antiqua" w:hAnsi="Book Antiqua"/>
        </w:rPr>
        <w:t>Zagadnienia obowiązujące do kolokwium w sem</w:t>
      </w:r>
      <w:r>
        <w:rPr>
          <w:rFonts w:ascii="Book Antiqua" w:hAnsi="Book Antiqua"/>
        </w:rPr>
        <w:t>e</w:t>
      </w:r>
      <w:r w:rsidRPr="0030647C">
        <w:rPr>
          <w:rFonts w:ascii="Book Antiqua" w:hAnsi="Book Antiqua"/>
        </w:rPr>
        <w:t>strze zimowy</w:t>
      </w:r>
      <w:r w:rsidR="0076507E">
        <w:rPr>
          <w:rFonts w:ascii="Book Antiqua" w:hAnsi="Book Antiqua"/>
        </w:rPr>
        <w:t xml:space="preserve">m roku akademickiego 2014/2015 </w:t>
      </w:r>
      <w:r w:rsidRPr="0030647C">
        <w:rPr>
          <w:rFonts w:ascii="Book Antiqua" w:hAnsi="Book Antiqua"/>
        </w:rPr>
        <w:t>N</w:t>
      </w:r>
      <w:r w:rsidR="0076507E">
        <w:rPr>
          <w:rFonts w:ascii="Book Antiqua" w:hAnsi="Book Antiqua"/>
        </w:rPr>
        <w:t>S</w:t>
      </w:r>
      <w:r w:rsidR="00D54605">
        <w:rPr>
          <w:rFonts w:ascii="Book Antiqua" w:hAnsi="Book Antiqua"/>
        </w:rPr>
        <w:t>P (W</w:t>
      </w:r>
      <w:r w:rsidRPr="0030647C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III</w:t>
      </w:r>
      <w:r w:rsidRPr="0030647C">
        <w:rPr>
          <w:rFonts w:ascii="Book Antiqua" w:hAnsi="Book Antiqua"/>
        </w:rPr>
        <w:t>: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p</w:t>
      </w:r>
      <w:r w:rsidR="00DF301C" w:rsidRPr="00DF301C">
        <w:rPr>
          <w:rFonts w:ascii="Book Antiqua" w:hAnsi="Book Antiqua"/>
        </w:rPr>
        <w:t>ojęcie i rodzaje właściwości sądu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DF301C" w:rsidRPr="00DF301C">
        <w:rPr>
          <w:rFonts w:ascii="Book Antiqua" w:hAnsi="Book Antiqua"/>
        </w:rPr>
        <w:t>adanie właściwości przez sąd oraz spory o właściwość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DF301C" w:rsidRPr="00DF301C">
        <w:rPr>
          <w:rFonts w:ascii="Book Antiqua" w:hAnsi="Book Antiqua"/>
        </w:rPr>
        <w:t>kład sądu oraz sposób jego wyznaczania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DF301C" w:rsidRPr="00DF301C">
        <w:rPr>
          <w:rFonts w:ascii="Book Antiqua" w:hAnsi="Book Antiqua"/>
        </w:rPr>
        <w:t>yłączenie sędziego z mocy prawa (</w:t>
      </w:r>
      <w:proofErr w:type="spellStart"/>
      <w:r w:rsidR="00DF301C" w:rsidRPr="00DF301C">
        <w:rPr>
          <w:rFonts w:ascii="Book Antiqua" w:hAnsi="Book Antiqua"/>
        </w:rPr>
        <w:t>iudex</w:t>
      </w:r>
      <w:proofErr w:type="spellEnd"/>
      <w:r w:rsidR="00DF301C" w:rsidRPr="00DF301C">
        <w:rPr>
          <w:rFonts w:ascii="Book Antiqua" w:hAnsi="Book Antiqua"/>
        </w:rPr>
        <w:t xml:space="preserve"> </w:t>
      </w:r>
      <w:proofErr w:type="spellStart"/>
      <w:r w:rsidR="00DF301C" w:rsidRPr="00DF301C">
        <w:rPr>
          <w:rFonts w:ascii="Book Antiqua" w:hAnsi="Book Antiqua"/>
        </w:rPr>
        <w:t>inhabilis</w:t>
      </w:r>
      <w:proofErr w:type="spellEnd"/>
      <w:r w:rsidR="00DF301C" w:rsidRPr="00DF301C">
        <w:rPr>
          <w:rFonts w:ascii="Book Antiqua" w:hAnsi="Book Antiqua"/>
        </w:rPr>
        <w:t>) – przesłanki, tryb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DF301C" w:rsidRPr="00DF301C">
        <w:rPr>
          <w:rFonts w:ascii="Book Antiqua" w:hAnsi="Book Antiqua"/>
        </w:rPr>
        <w:t>yłączenie sędziego z mocy postanowienia sądu (</w:t>
      </w:r>
      <w:proofErr w:type="spellStart"/>
      <w:r w:rsidR="00DF301C" w:rsidRPr="00DF301C">
        <w:rPr>
          <w:rFonts w:ascii="Book Antiqua" w:hAnsi="Book Antiqua"/>
        </w:rPr>
        <w:t>iudex</w:t>
      </w:r>
      <w:proofErr w:type="spellEnd"/>
      <w:r w:rsidR="00DF301C" w:rsidRPr="00DF301C">
        <w:rPr>
          <w:rFonts w:ascii="Book Antiqua" w:hAnsi="Book Antiqua"/>
        </w:rPr>
        <w:t xml:space="preserve"> </w:t>
      </w:r>
      <w:proofErr w:type="spellStart"/>
      <w:r w:rsidR="00DF301C" w:rsidRPr="00DF301C">
        <w:rPr>
          <w:rFonts w:ascii="Book Antiqua" w:hAnsi="Book Antiqua"/>
        </w:rPr>
        <w:t>suspectus</w:t>
      </w:r>
      <w:proofErr w:type="spellEnd"/>
      <w:r w:rsidR="00DF301C" w:rsidRPr="00DF301C">
        <w:rPr>
          <w:rFonts w:ascii="Book Antiqua" w:hAnsi="Book Antiqua"/>
        </w:rPr>
        <w:t>) – przesłanki, tryb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DF301C" w:rsidRPr="00DF301C">
        <w:rPr>
          <w:rFonts w:ascii="Book Antiqua" w:hAnsi="Book Antiqua"/>
        </w:rPr>
        <w:t>ryb wyłączenia sędziego, skutki procesowe niewyłączenia sędziego podlegającego wyłączeniu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DF301C" w:rsidRPr="00DF301C">
        <w:rPr>
          <w:rFonts w:ascii="Book Antiqua" w:hAnsi="Book Antiqua"/>
        </w:rPr>
        <w:t>yłączenie prokuratora, organu prowadzącego postępowanie przygotowawcze oraz oskarżyciela publicznego – przesłanki, tryb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DF301C" w:rsidRPr="00DF301C">
        <w:rPr>
          <w:rFonts w:ascii="Book Antiqua" w:hAnsi="Book Antiqua"/>
        </w:rPr>
        <w:t>umulacja ról procesowych w postępowaniu karnym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DF301C" w:rsidRPr="00DF301C">
        <w:rPr>
          <w:rFonts w:ascii="Book Antiqua" w:hAnsi="Book Antiqua"/>
        </w:rPr>
        <w:t>ojęcie pokrzywdzonego, osoby wykonujące prawa pokrzywdzonego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DF301C" w:rsidRPr="00DF301C">
        <w:rPr>
          <w:rFonts w:ascii="Book Antiqua" w:hAnsi="Book Antiqua"/>
        </w:rPr>
        <w:t>skarżyciel posiłkowy uboczny – wstąpienie w prawa, odstąpienie od oskarżenia, konsekwencje śmierci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DF301C" w:rsidRPr="00DF301C">
        <w:rPr>
          <w:rFonts w:ascii="Book Antiqua" w:hAnsi="Book Antiqua"/>
        </w:rPr>
        <w:t>karga subsydiarna – podmioty uprawnione do jej wniesienia i tryb jej wnoszenia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DF301C" w:rsidRPr="00DF301C">
        <w:rPr>
          <w:rFonts w:ascii="Book Antiqua" w:hAnsi="Book Antiqua"/>
        </w:rPr>
        <w:t>skarżyciel prywatny - wstąpienie w prawa, odstąpienie od oskarżenia, konsekwencje śmierci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DF301C" w:rsidRPr="00DF301C">
        <w:rPr>
          <w:rFonts w:ascii="Book Antiqua" w:hAnsi="Book Antiqua"/>
        </w:rPr>
        <w:t>owód cywilny - wstąpienie w prawa, konsekwencje śmierci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DF301C" w:rsidRPr="00DF301C">
        <w:rPr>
          <w:rFonts w:ascii="Book Antiqua" w:hAnsi="Book Antiqua"/>
        </w:rPr>
        <w:t>owództwo cywilne w procesie karnym – zakres i charakter dochodzonych roszczeń, warunki dopuszczalności, orzekanie w przedmiocie dopuszczalności pozwu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DF301C" w:rsidRPr="00DF301C">
        <w:rPr>
          <w:rFonts w:ascii="Book Antiqua" w:hAnsi="Book Antiqua"/>
        </w:rPr>
        <w:t>ochodzenie przez pokrzywdzonego roszczeń cywilnych w procesie karnym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DF301C" w:rsidRPr="00DF301C">
        <w:rPr>
          <w:rFonts w:ascii="Book Antiqua" w:hAnsi="Book Antiqua"/>
        </w:rPr>
        <w:t>stąpienie przez pokrzywdzonego w prawa strony w postępowaniu jurysdykcyjnym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DF301C" w:rsidRPr="00DF301C">
        <w:rPr>
          <w:rFonts w:ascii="Book Antiqua" w:hAnsi="Book Antiqua"/>
        </w:rPr>
        <w:t>skarżony, podejrzany, osoba podejrzana. Obowiązki dowodowe oskarżonego i osoby podejrzanej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DF301C" w:rsidRPr="00DF301C">
        <w:rPr>
          <w:rFonts w:ascii="Book Antiqua" w:hAnsi="Book Antiqua"/>
        </w:rPr>
        <w:t>ełnomocnik</w:t>
      </w:r>
    </w:p>
    <w:p w:rsidR="00DF301C" w:rsidRPr="00DF301C" w:rsidRDefault="00B4673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DF301C" w:rsidRPr="00DF301C">
        <w:rPr>
          <w:rFonts w:ascii="Book Antiqua" w:hAnsi="Book Antiqua"/>
        </w:rPr>
        <w:t>brońca oskarżonego. Obrona obligatoryjna i obrona z urzędu</w:t>
      </w:r>
    </w:p>
    <w:p w:rsidR="00DF301C" w:rsidRPr="00DF301C" w:rsidRDefault="00DF301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DF301C">
        <w:rPr>
          <w:rFonts w:ascii="Book Antiqua" w:hAnsi="Book Antiqua"/>
        </w:rPr>
        <w:t>ofnięcie aktu oskarżenia. Odstąpienie od oskarżenia przez oskarżyciela posiłkowego i prywatnego</w:t>
      </w:r>
    </w:p>
    <w:p w:rsidR="00DF301C" w:rsidRPr="00DF301C" w:rsidRDefault="00DF301C" w:rsidP="00DF301C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Pr="00DF301C">
        <w:rPr>
          <w:rFonts w:ascii="Book Antiqua" w:hAnsi="Book Antiqua"/>
        </w:rPr>
        <w:t>onsekwencje śmierci stron postępowania</w:t>
      </w:r>
    </w:p>
    <w:p w:rsidR="001669C6" w:rsidRDefault="001669C6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świadek anonimowy</w:t>
      </w:r>
      <w:r w:rsidR="00103C62">
        <w:rPr>
          <w:rFonts w:ascii="Book Antiqua" w:hAnsi="Book Antiqua"/>
        </w:rPr>
        <w:t xml:space="preserve"> - </w:t>
      </w:r>
      <w:r w:rsidR="00103C62" w:rsidRPr="00103C62">
        <w:rPr>
          <w:rFonts w:ascii="Book Antiqua" w:hAnsi="Book Antiqua"/>
        </w:rPr>
        <w:t xml:space="preserve">podstawy i sposób </w:t>
      </w:r>
      <w:proofErr w:type="spellStart"/>
      <w:r w:rsidR="00103C62" w:rsidRPr="00103C62">
        <w:rPr>
          <w:rFonts w:ascii="Book Antiqua" w:hAnsi="Book Antiqua"/>
        </w:rPr>
        <w:t>anonimizacji</w:t>
      </w:r>
      <w:proofErr w:type="spellEnd"/>
      <w:r w:rsidR="00103C62">
        <w:rPr>
          <w:rFonts w:ascii="Book Antiqua" w:hAnsi="Book Antiqua"/>
        </w:rPr>
        <w:t xml:space="preserve">, </w:t>
      </w:r>
    </w:p>
    <w:p w:rsidR="001669C6" w:rsidRDefault="00103C62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świadek koronny – zakres podmiotowy i przedmiotowy ustawy</w:t>
      </w:r>
      <w:r w:rsidR="00B92A5D">
        <w:rPr>
          <w:rFonts w:ascii="Book Antiqua" w:hAnsi="Book Antiqua"/>
        </w:rPr>
        <w:t xml:space="preserve"> o świadku koronnym, </w:t>
      </w:r>
      <w:r w:rsidR="00045169">
        <w:rPr>
          <w:rFonts w:ascii="Book Antiqua" w:hAnsi="Book Antiqua"/>
        </w:rPr>
        <w:t>tryb dopuszczenia dowodu z zeznań świadka koronnego, konsekwencje uzyskania statusu świadka koronnego,</w:t>
      </w:r>
    </w:p>
    <w:p w:rsidR="001528BD" w:rsidRDefault="00A97511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669C6">
        <w:rPr>
          <w:rFonts w:ascii="Book Antiqua" w:hAnsi="Book Antiqua"/>
        </w:rPr>
        <w:t>za</w:t>
      </w:r>
      <w:r w:rsidR="001669C6">
        <w:rPr>
          <w:rFonts w:ascii="Book Antiqua" w:hAnsi="Book Antiqua"/>
        </w:rPr>
        <w:t xml:space="preserve">trzymanie rzeczy i przeszukanie - </w:t>
      </w:r>
      <w:r w:rsidR="001669C6" w:rsidRPr="001669C6">
        <w:rPr>
          <w:rFonts w:ascii="Book Antiqua" w:hAnsi="Book Antiqua"/>
        </w:rPr>
        <w:t>pod</w:t>
      </w:r>
      <w:r w:rsidR="001669C6">
        <w:rPr>
          <w:rFonts w:ascii="Book Antiqua" w:hAnsi="Book Antiqua"/>
        </w:rPr>
        <w:t xml:space="preserve">stawy prawne, sposób dokonania, </w:t>
      </w:r>
      <w:r w:rsidR="001669C6" w:rsidRPr="001669C6">
        <w:rPr>
          <w:rFonts w:ascii="Book Antiqua" w:hAnsi="Book Antiqua"/>
        </w:rPr>
        <w:t>organy uprawnione</w:t>
      </w:r>
    </w:p>
    <w:p w:rsidR="001669C6" w:rsidRPr="001669C6" w:rsidRDefault="001669C6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1669C6">
        <w:rPr>
          <w:rFonts w:ascii="Book Antiqua" w:hAnsi="Book Antiqua"/>
        </w:rPr>
        <w:t>rzeszukanie instytucji państwowych, samorządowych oraz postępowanie w przypadku dokumentów objętych tajemnicami prawnie chronionymi</w:t>
      </w:r>
      <w:r>
        <w:rPr>
          <w:rFonts w:ascii="Book Antiqua" w:hAnsi="Book Antiqua"/>
        </w:rPr>
        <w:t>,</w:t>
      </w:r>
    </w:p>
    <w:p w:rsidR="001669C6" w:rsidRDefault="00A97511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kontrola i utrwalanie rozmów</w:t>
      </w:r>
      <w:r w:rsidR="001669C6">
        <w:rPr>
          <w:rFonts w:ascii="Book Antiqua" w:hAnsi="Book Antiqua"/>
        </w:rPr>
        <w:t xml:space="preserve"> – tryb stosowania, granice podmiotowe, przedmiotowe i temporalne,</w:t>
      </w:r>
      <w:r w:rsidR="00103C62">
        <w:rPr>
          <w:rFonts w:ascii="Book Antiqua" w:hAnsi="Book Antiqua"/>
        </w:rPr>
        <w:t xml:space="preserve"> tzw. zgoda następcza,</w:t>
      </w:r>
    </w:p>
    <w:p w:rsidR="00103C62" w:rsidRDefault="00103C62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biegły - </w:t>
      </w:r>
      <w:r w:rsidRPr="00103C62">
        <w:rPr>
          <w:rFonts w:ascii="Book Antiqua" w:hAnsi="Book Antiqua"/>
        </w:rPr>
        <w:t>powołanie, opinia, możliwość k</w:t>
      </w:r>
      <w:r>
        <w:rPr>
          <w:rFonts w:ascii="Book Antiqua" w:hAnsi="Book Antiqua"/>
        </w:rPr>
        <w:t>westionowania opinii biegłego, t</w:t>
      </w:r>
      <w:r w:rsidRPr="00103C62">
        <w:rPr>
          <w:rFonts w:ascii="Book Antiqua" w:hAnsi="Book Antiqua"/>
        </w:rPr>
        <w:t>zw. opinia prywatna</w:t>
      </w:r>
      <w:r w:rsidR="00E6500D">
        <w:rPr>
          <w:rFonts w:ascii="Book Antiqua" w:hAnsi="Book Antiqua"/>
        </w:rPr>
        <w:t>,</w:t>
      </w:r>
    </w:p>
    <w:p w:rsidR="00E6500D" w:rsidRPr="00E6500D" w:rsidRDefault="00E6500D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E6500D">
        <w:rPr>
          <w:rFonts w:ascii="Book Antiqua" w:hAnsi="Book Antiqua"/>
        </w:rPr>
        <w:t>pinia sądowo-psychiatryczna, obserwacja psychiatryczna</w:t>
      </w:r>
    </w:p>
    <w:p w:rsidR="001528BD" w:rsidRDefault="00A97511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1669C6">
        <w:rPr>
          <w:rFonts w:ascii="Book Antiqua" w:hAnsi="Book Antiqua"/>
        </w:rPr>
        <w:t>specjaliści, tłumacze,</w:t>
      </w:r>
    </w:p>
    <w:p w:rsidR="001528BD" w:rsidRDefault="00A97511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wywiad środowiskowy,</w:t>
      </w:r>
    </w:p>
    <w:p w:rsidR="001528BD" w:rsidRDefault="00A97511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oględziny i otwarcie zwłok,</w:t>
      </w:r>
    </w:p>
    <w:p w:rsidR="001528BD" w:rsidRDefault="00A97511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wizja lokalna,</w:t>
      </w:r>
    </w:p>
    <w:p w:rsidR="001528BD" w:rsidRDefault="00A97511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eksperyment procesowy,</w:t>
      </w:r>
    </w:p>
    <w:p w:rsidR="001528BD" w:rsidRDefault="00A97511" w:rsidP="00045169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okazanie</w:t>
      </w:r>
      <w:r w:rsidR="00763F20">
        <w:rPr>
          <w:rFonts w:ascii="Book Antiqua" w:hAnsi="Book Antiqua"/>
        </w:rPr>
        <w:t>.</w:t>
      </w:r>
    </w:p>
    <w:p w:rsidR="00827C57" w:rsidRPr="006D4D7C" w:rsidRDefault="00827C57" w:rsidP="006D4D7C">
      <w:pPr>
        <w:jc w:val="both"/>
        <w:rPr>
          <w:rFonts w:ascii="Book Antiqua" w:hAnsi="Book Antiqua"/>
          <w:b/>
        </w:rPr>
      </w:pPr>
    </w:p>
    <w:sectPr w:rsidR="00827C57" w:rsidRPr="006D4D7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22D9"/>
    <w:multiLevelType w:val="multilevel"/>
    <w:tmpl w:val="3D788F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8662B5"/>
    <w:multiLevelType w:val="hybridMultilevel"/>
    <w:tmpl w:val="0FD0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C34"/>
    <w:multiLevelType w:val="multilevel"/>
    <w:tmpl w:val="FEA2526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CC55FE0"/>
    <w:multiLevelType w:val="multilevel"/>
    <w:tmpl w:val="E2EE760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CD72B5D"/>
    <w:multiLevelType w:val="multilevel"/>
    <w:tmpl w:val="7ADEF4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E3F7CDA"/>
    <w:multiLevelType w:val="hybridMultilevel"/>
    <w:tmpl w:val="1590A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E5900"/>
    <w:multiLevelType w:val="multilevel"/>
    <w:tmpl w:val="5A3637B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2EBE617C"/>
    <w:multiLevelType w:val="hybridMultilevel"/>
    <w:tmpl w:val="1AAA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D05E5"/>
    <w:multiLevelType w:val="multilevel"/>
    <w:tmpl w:val="9B2C7F0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6BC7CD6"/>
    <w:multiLevelType w:val="hybridMultilevel"/>
    <w:tmpl w:val="C7328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9C0E1B"/>
    <w:multiLevelType w:val="multilevel"/>
    <w:tmpl w:val="884EC0B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4BFC45D7"/>
    <w:multiLevelType w:val="multilevel"/>
    <w:tmpl w:val="1ED434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FD36579"/>
    <w:multiLevelType w:val="multilevel"/>
    <w:tmpl w:val="57E0C1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9181085"/>
    <w:multiLevelType w:val="hybridMultilevel"/>
    <w:tmpl w:val="DF10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966F5"/>
    <w:multiLevelType w:val="hybridMultilevel"/>
    <w:tmpl w:val="15EA2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B930D4"/>
    <w:multiLevelType w:val="multilevel"/>
    <w:tmpl w:val="FE98BDB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477C"/>
    <w:multiLevelType w:val="multilevel"/>
    <w:tmpl w:val="688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F4384"/>
    <w:multiLevelType w:val="multilevel"/>
    <w:tmpl w:val="A80668F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7F6B0626"/>
    <w:multiLevelType w:val="multilevel"/>
    <w:tmpl w:val="40B85CA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7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045169"/>
    <w:rsid w:val="00103C62"/>
    <w:rsid w:val="001528BD"/>
    <w:rsid w:val="00163797"/>
    <w:rsid w:val="001669C6"/>
    <w:rsid w:val="001C2F36"/>
    <w:rsid w:val="001E6783"/>
    <w:rsid w:val="00260014"/>
    <w:rsid w:val="0030647C"/>
    <w:rsid w:val="003D4FB3"/>
    <w:rsid w:val="004815CC"/>
    <w:rsid w:val="006B4606"/>
    <w:rsid w:val="006C137B"/>
    <w:rsid w:val="006D4D7C"/>
    <w:rsid w:val="00763F20"/>
    <w:rsid w:val="0076507E"/>
    <w:rsid w:val="007B1917"/>
    <w:rsid w:val="00827C57"/>
    <w:rsid w:val="00847A31"/>
    <w:rsid w:val="009035B1"/>
    <w:rsid w:val="009660BA"/>
    <w:rsid w:val="00A97511"/>
    <w:rsid w:val="00B4673C"/>
    <w:rsid w:val="00B92A5D"/>
    <w:rsid w:val="00D54605"/>
    <w:rsid w:val="00DF301C"/>
    <w:rsid w:val="00E6500D"/>
    <w:rsid w:val="00EC7BF0"/>
    <w:rsid w:val="00F14219"/>
    <w:rsid w:val="00F21089"/>
    <w:rsid w:val="00F33CEF"/>
    <w:rsid w:val="00F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2BC2-A619-444B-A2F2-7C19ACF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DB42B4"/>
  </w:style>
  <w:style w:type="character" w:customStyle="1" w:styleId="StopkaZnak">
    <w:name w:val="Stopka Znak"/>
    <w:basedOn w:val="Domylnaczcionkaakapitu"/>
    <w:link w:val="Stopka"/>
    <w:uiPriority w:val="99"/>
    <w:semiHidden/>
    <w:rsid w:val="00DB42B4"/>
  </w:style>
  <w:style w:type="character" w:styleId="Odwoaniedokomentarza">
    <w:name w:val="annotation reference"/>
    <w:basedOn w:val="Domylnaczcionkaakapitu"/>
    <w:uiPriority w:val="99"/>
    <w:semiHidden/>
    <w:unhideWhenUsed/>
    <w:rsid w:val="009C54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42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42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2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Book Antiqua" w:hAnsi="Book Antiqua"/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DB42B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B42B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42B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4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9C54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4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Olcia</dc:creator>
  <cp:lastModifiedBy>Magdalena Podolska</cp:lastModifiedBy>
  <cp:revision>7</cp:revision>
  <cp:lastPrinted>2014-12-13T19:15:00Z</cp:lastPrinted>
  <dcterms:created xsi:type="dcterms:W3CDTF">2014-12-27T14:06:00Z</dcterms:created>
  <dcterms:modified xsi:type="dcterms:W3CDTF">2015-01-01T18:37:00Z</dcterms:modified>
  <dc:language>pl-PL</dc:language>
</cp:coreProperties>
</file>