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/>
      </w:pPr>
      <w:r>
        <w:rPr>
          <w:rStyle w:val="Czeinternetowe"/>
          <w:rFonts w:eastAsia="Calibri" w:ascii="Cambria" w:hAnsi="Cambria"/>
          <w:b/>
          <w:color w:val="000000"/>
          <w:sz w:val="22"/>
        </w:rPr>
        <w:t>P</w:t>
      </w:r>
      <w:r>
        <w:rPr>
          <w:rStyle w:val="Czeinternetowe"/>
          <w:rFonts w:eastAsia="Calibri" w:cs="" w:ascii="Cambria" w:hAnsi="Cambria"/>
          <w:b/>
          <w:color w:val="000000"/>
          <w:kern w:val="0"/>
          <w:sz w:val="22"/>
          <w:szCs w:val="22"/>
          <w:u w:val="single"/>
          <w:lang w:val="pl-PL" w:eastAsia="en-US" w:bidi="ar-SA"/>
        </w:rPr>
        <w:t>odstawy prawa karnego wykonawczego</w:t>
      </w:r>
    </w:p>
    <w:p>
      <w:pPr>
        <w:pStyle w:val="Normal"/>
        <w:spacing w:lineRule="auto" w:line="360"/>
        <w:jc w:val="center"/>
        <w:rPr/>
      </w:pPr>
      <w:r>
        <w:rPr>
          <w:rStyle w:val="Wrtext"/>
          <w:rFonts w:ascii="Cambria" w:hAnsi="Cambria" w:asciiTheme="majorHAnsi" w:hAnsiTheme="majorHAnsi"/>
        </w:rPr>
        <w:t>semestr letni 202</w:t>
      </w:r>
      <w:r>
        <w:rPr>
          <w:rStyle w:val="Wrtext"/>
          <w:rFonts w:ascii="Cambria" w:hAnsi="Cambria" w:asciiTheme="majorHAnsi" w:hAnsiTheme="majorHAnsi"/>
        </w:rPr>
        <w:t>1</w:t>
      </w:r>
      <w:r>
        <w:rPr>
          <w:rStyle w:val="Wrtext"/>
          <w:rFonts w:ascii="Cambria" w:hAnsi="Cambria" w:asciiTheme="majorHAnsi" w:hAnsiTheme="majorHAnsi"/>
        </w:rPr>
        <w:t>/202</w:t>
      </w:r>
      <w:r>
        <w:rPr>
          <w:rStyle w:val="Wrtext"/>
          <w:rFonts w:ascii="Cambria" w:hAnsi="Cambria" w:asciiTheme="majorHAnsi" w:hAnsiTheme="majorHAnsi"/>
        </w:rPr>
        <w:t>2</w:t>
      </w:r>
    </w:p>
    <w:p>
      <w:pPr>
        <w:pStyle w:val="Normal"/>
        <w:spacing w:lineRule="auto" w:line="360"/>
        <w:jc w:val="both"/>
        <w:rPr/>
      </w:pPr>
      <w:r>
        <w:rPr>
          <w:rFonts w:ascii="Cambria" w:hAnsi="Cambria" w:asciiTheme="majorHAnsi" w:hAnsiTheme="majorHAnsi"/>
          <w:b/>
          <w:u w:val="single"/>
        </w:rPr>
        <w:t>I. Charakterystyka zajęć:</w:t>
      </w:r>
    </w:p>
    <w:p>
      <w:pPr>
        <w:pStyle w:val="Normal"/>
        <w:spacing w:lineRule="auto" w:line="360"/>
        <w:jc w:val="both"/>
        <w:rPr/>
      </w:pPr>
      <w:r>
        <w:rPr>
          <w:rFonts w:ascii="Cambria" w:hAnsi="Cambria" w:asciiTheme="majorHAnsi" w:hAnsiTheme="majorHAnsi"/>
          <w:b/>
          <w:bCs/>
        </w:rPr>
        <w:t xml:space="preserve">* 8 </w:t>
      </w:r>
      <w:r>
        <w:rPr>
          <w:rFonts w:ascii="Cambria" w:hAnsi="Cambria" w:asciiTheme="majorHAnsi" w:hAnsiTheme="majorHAnsi"/>
          <w:b/>
        </w:rPr>
        <w:t>godzin</w:t>
      </w:r>
      <w:r>
        <w:rPr>
          <w:rFonts w:ascii="Cambria" w:hAnsi="Cambria" w:asciiTheme="majorHAnsi" w:hAnsiTheme="majorHAnsi"/>
        </w:rPr>
        <w:t xml:space="preserve"> (</w:t>
      </w:r>
      <w:r>
        <w:rPr>
          <w:rFonts w:ascii="Cambria" w:hAnsi="Cambria" w:asciiTheme="majorHAnsi" w:hAnsiTheme="majorHAnsi"/>
        </w:rPr>
        <w:t>4</w:t>
      </w:r>
      <w:r>
        <w:rPr>
          <w:rFonts w:ascii="Cambria" w:hAnsi="Cambria" w:asciiTheme="majorHAnsi" w:hAnsiTheme="majorHAnsi"/>
        </w:rPr>
        <w:t xml:space="preserve"> spotkania)</w:t>
      </w:r>
    </w:p>
    <w:p>
      <w:pPr>
        <w:pStyle w:val="Normal"/>
        <w:spacing w:lineRule="auto" w:line="360"/>
        <w:jc w:val="both"/>
        <w:rPr/>
      </w:pPr>
      <w:r>
        <w:rPr>
          <w:rFonts w:eastAsia="Calibri" w:ascii="Cambria" w:hAnsi="Cambria" w:asciiTheme="majorHAnsi" w:hAnsiTheme="majorHAnsi"/>
          <w:b/>
          <w:bCs/>
        </w:rPr>
        <w:t>1)</w:t>
      </w:r>
      <w:r>
        <w:rPr>
          <w:rFonts w:eastAsia="Calibri" w:ascii="Cambria" w:hAnsi="Cambria" w:asciiTheme="majorHAnsi" w:hAnsiTheme="majorHAnsi"/>
        </w:rPr>
        <w:t xml:space="preserve"> </w:t>
      </w:r>
      <w:r>
        <w:rPr>
          <w:rFonts w:eastAsia="Calibri" w:ascii="Cambria" w:hAnsi="Cambria" w:asciiTheme="majorHAnsi" w:hAnsiTheme="majorHAnsi"/>
          <w:b/>
          <w:bCs/>
        </w:rPr>
        <w:t>I-sze spotkanie – 2 h zajęciowe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ascii="Cambria" w:hAnsi="Cambria" w:asciiTheme="majorHAnsi" w:hAnsiTheme="majorHAnsi"/>
          <w:i/>
        </w:rPr>
        <w:t>omówienie sposobu realizacji zajęć, warunków zaliczenia;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ascii="Cambria" w:hAnsi="Cambria" w:asciiTheme="majorHAnsi" w:hAnsiTheme="majorHAnsi"/>
          <w:i/>
        </w:rPr>
        <w:t>wprowadzenie do tematyki zajęć;</w:t>
      </w:r>
      <w:r>
        <w:rPr>
          <w:rFonts w:eastAsia="Calibri" w:cs="" w:ascii="Cambria" w:hAnsi="Cambria" w:asciiTheme="majorHAnsi" w:hAnsiTheme="majorHAnsi"/>
          <w:i/>
          <w:color w:val="auto"/>
          <w:kern w:val="0"/>
          <w:sz w:val="22"/>
          <w:szCs w:val="22"/>
          <w:lang w:val="pl-PL" w:eastAsia="en-US" w:bidi="ar-SA"/>
        </w:rPr>
        <w:t xml:space="preserve"> zdefiniowanie pojęć: prawo karne wykonawcze, prawo penitencjarne; wskazanie źródeł prawa karnego wykonawczego;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ascii="Cambria" w:hAnsi="Cambria" w:asciiTheme="majorHAnsi" w:hAnsiTheme="majorHAnsi"/>
          <w:i/>
        </w:rPr>
        <w:t xml:space="preserve">omawianie zagadnień związanych z </w:t>
      </w:r>
      <w:r>
        <w:rPr>
          <w:rFonts w:eastAsia="Calibri" w:cs="" w:ascii="Cambria" w:hAnsi="Cambria" w:asciiTheme="majorHAnsi" w:hAnsiTheme="majorHAnsi"/>
          <w:i/>
          <w:color w:val="auto"/>
          <w:kern w:val="0"/>
          <w:sz w:val="22"/>
          <w:szCs w:val="22"/>
          <w:lang w:val="pl-PL" w:eastAsia="en-US" w:bidi="ar-SA"/>
        </w:rPr>
        <w:t>zasadami prawa karnego wykonawczego;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eastAsia="Calibri" w:cs="" w:ascii="Cambria" w:hAnsi="Cambria" w:asciiTheme="majorHAnsi" w:hAnsiTheme="majorHAnsi"/>
          <w:i/>
          <w:color w:val="auto"/>
          <w:kern w:val="0"/>
          <w:sz w:val="22"/>
          <w:szCs w:val="22"/>
          <w:lang w:val="pl-PL" w:eastAsia="en-US" w:bidi="ar-SA"/>
        </w:rPr>
        <w:t>organy postępowania karnego wykonawczego;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eastAsia="Calibri" w:cs="" w:ascii="Cambria" w:hAnsi="Cambria" w:asciiTheme="majorHAnsi" w:hAnsiTheme="majorHAnsi"/>
          <w:i/>
          <w:color w:val="auto"/>
          <w:kern w:val="0"/>
          <w:sz w:val="22"/>
          <w:szCs w:val="22"/>
          <w:lang w:val="pl-PL" w:eastAsia="en-US" w:bidi="ar-SA"/>
        </w:rPr>
        <w:t>postępowanie wykonawcze, wykonywanie orzeczeń;</w:t>
      </w:r>
    </w:p>
    <w:p>
      <w:pPr>
        <w:pStyle w:val="Normal"/>
        <w:spacing w:lineRule="auto" w:line="360"/>
        <w:jc w:val="both"/>
        <w:rPr/>
      </w:pPr>
      <w:r>
        <w:rPr>
          <w:rFonts w:eastAsia="Calibri" w:ascii="Cambria" w:hAnsi="Cambria" w:asciiTheme="majorHAnsi" w:hAnsiTheme="majorHAnsi"/>
          <w:b/>
          <w:bCs/>
        </w:rPr>
        <w:t xml:space="preserve">2) </w:t>
      </w:r>
      <w:r>
        <w:rPr>
          <w:rFonts w:eastAsia="Calibri" w:ascii="Cambria" w:hAnsi="Cambria" w:asciiTheme="majorHAnsi" w:hAnsiTheme="majorHAnsi"/>
          <w:b/>
          <w:bCs/>
        </w:rPr>
        <w:t>II-gie spotkanie</w:t>
      </w:r>
      <w:r>
        <w:rPr>
          <w:rFonts w:ascii="Cambria" w:hAnsi="Cambria" w:asciiTheme="majorHAnsi" w:hAnsiTheme="majorHAnsi"/>
          <w:b/>
          <w:bCs/>
        </w:rPr>
        <w:t xml:space="preserve"> - 2 h zajęciowe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eastAsia="Calibri" w:cs="" w:ascii="Cambria" w:hAnsi="Cambria" w:asciiTheme="majorHAnsi" w:hAnsiTheme="majorHAnsi"/>
          <w:i/>
          <w:color w:val="auto"/>
          <w:kern w:val="0"/>
          <w:sz w:val="22"/>
          <w:szCs w:val="22"/>
          <w:lang w:val="pl-PL" w:eastAsia="en-US" w:bidi="ar-SA"/>
        </w:rPr>
        <w:t>podstawowe zagadnienia związane z wykonywaniem kary pozbawienia wolności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eastAsia="Calibri" w:cs="" w:ascii="Cambria" w:hAnsi="Cambria" w:asciiTheme="majorHAnsi" w:hAnsiTheme="majorHAnsi"/>
          <w:i/>
          <w:color w:val="auto"/>
          <w:kern w:val="0"/>
          <w:sz w:val="22"/>
          <w:szCs w:val="22"/>
          <w:lang w:val="pl-PL" w:eastAsia="en-US" w:bidi="ar-SA"/>
        </w:rPr>
        <w:t>klasyfikacja zakładów karnych (rodzaje i typy);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 w:val="false"/>
          <w:b w:val="false"/>
          <w:bCs w:val="false"/>
        </w:rPr>
      </w:pPr>
      <w:r>
        <w:rPr>
          <w:rFonts w:eastAsia="Calibri" w:cs="" w:ascii="Cambria" w:hAnsi="Cambria" w:asciiTheme="majorHAnsi" w:hAnsiTheme="majorHAnsi"/>
          <w:b w:val="false"/>
          <w:bCs w:val="false"/>
          <w:i/>
          <w:color w:val="auto"/>
          <w:kern w:val="0"/>
          <w:sz w:val="22"/>
          <w:szCs w:val="22"/>
          <w:lang w:val="pl-PL" w:eastAsia="en-US" w:bidi="ar-SA"/>
        </w:rPr>
        <w:t>systemy wykonywania kary pozbawienia wolności.</w:t>
      </w:r>
    </w:p>
    <w:p>
      <w:pPr>
        <w:pStyle w:val="Normal"/>
        <w:spacing w:lineRule="auto" w:line="360"/>
        <w:jc w:val="both"/>
        <w:rPr>
          <w:i w:val="false"/>
          <w:i w:val="false"/>
          <w:iCs w:val="false"/>
        </w:rPr>
      </w:pPr>
      <w:r>
        <w:rPr>
          <w:rFonts w:eastAsia="Calibri" w:cs="" w:ascii="Cambria" w:hAnsi="Cambria" w:asciiTheme="majorHAnsi" w:hAnsiTheme="majorHAnsi"/>
          <w:b/>
          <w:bCs/>
          <w:i w:val="false"/>
          <w:iCs w:val="false"/>
          <w:color w:val="auto"/>
          <w:kern w:val="0"/>
          <w:sz w:val="22"/>
          <w:szCs w:val="22"/>
          <w:lang w:val="pl-PL" w:eastAsia="en-US" w:bidi="ar-SA"/>
        </w:rPr>
        <w:t>3) III-cie spotkanie – 2 h zajęciowe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eastAsia="Calibri" w:cs="" w:ascii="Cambria" w:hAnsi="Cambria" w:asciiTheme="majorHAnsi" w:hAnsiTheme="majorHAnsi"/>
          <w:i/>
          <w:color w:val="auto"/>
          <w:kern w:val="0"/>
          <w:sz w:val="22"/>
          <w:szCs w:val="22"/>
          <w:lang w:val="pl-PL" w:eastAsia="en-US" w:bidi="ar-SA"/>
        </w:rPr>
        <w:t>prawa i obowiązki skazanego;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ascii="Cambria" w:hAnsi="Cambria" w:asciiTheme="majorHAnsi" w:hAnsiTheme="majorHAnsi"/>
          <w:i/>
        </w:rPr>
        <w:t>omawianie zagadnień związanych z w</w:t>
      </w:r>
      <w:r>
        <w:rPr>
          <w:rFonts w:eastAsia="Calibri" w:cs="" w:ascii="Cambria" w:hAnsi="Cambria" w:asciiTheme="majorHAnsi" w:hAnsiTheme="majorHAnsi"/>
          <w:i/>
          <w:color w:val="auto"/>
          <w:kern w:val="0"/>
          <w:sz w:val="22"/>
          <w:szCs w:val="22"/>
          <w:lang w:val="pl-PL" w:eastAsia="en-US" w:bidi="ar-SA"/>
        </w:rPr>
        <w:t>ykonywaniem kary grzywny kary ograniczenia wolności oraz systemem dozoru elektronicznego (najważniejsze zagadnienia);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eastAsia="Calibri" w:cs="" w:ascii="Cambria" w:hAnsi="Cambria" w:asciiTheme="majorHAnsi" w:hAnsiTheme="majorHAnsi"/>
          <w:i/>
          <w:color w:val="auto"/>
          <w:kern w:val="0"/>
          <w:sz w:val="22"/>
          <w:szCs w:val="22"/>
          <w:lang w:val="pl-PL" w:eastAsia="en-US" w:bidi="ar-SA"/>
        </w:rPr>
        <w:t>omawianie problematyki wykonywanie kary pozbawienia wolności w stosunku do poszczególnych grup skazanych.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Calibri" w:ascii="Cambria" w:hAnsi="Cambria" w:asciiTheme="majorHAnsi" w:hAnsiTheme="majorHAnsi"/>
          <w:b/>
          <w:bCs/>
        </w:rPr>
        <w:t>3) 6 czerwca 2021</w:t>
      </w:r>
      <w:r>
        <w:rPr>
          <w:rFonts w:ascii="Cambria" w:hAnsi="Cambria" w:asciiTheme="majorHAnsi" w:hAnsiTheme="majorHAnsi"/>
          <w:b/>
          <w:bCs/>
        </w:rPr>
        <w:t xml:space="preserve"> r. - 2 h zajęciowe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eastAsia="Calibri" w:ascii="Cambria" w:hAnsi="Cambria" w:asciiTheme="majorHAnsi" w:hAnsiTheme="majorHAnsi"/>
          <w:b w:val="false"/>
          <w:bCs w:val="false"/>
          <w:i/>
        </w:rPr>
        <w:t>podsumowanie zajęć;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jc w:val="both"/>
        <w:rPr/>
      </w:pPr>
      <w:r>
        <w:rPr>
          <w:rFonts w:eastAsia="Calibri" w:cs="" w:ascii="Cambria" w:hAnsi="Cambria" w:asciiTheme="majorHAnsi" w:hAnsiTheme="majorHAnsi"/>
          <w:i/>
          <w:color w:val="auto"/>
          <w:kern w:val="0"/>
          <w:sz w:val="22"/>
          <w:szCs w:val="22"/>
          <w:lang w:val="pl-PL" w:eastAsia="en-US" w:bidi="ar-SA"/>
        </w:rPr>
        <w:t>test zaliczeniowy;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jc w:val="both"/>
        <w:rPr/>
      </w:pPr>
      <w:r>
        <w:rPr>
          <w:rFonts w:eastAsia="Calibri" w:cs="" w:ascii="Cambria" w:hAnsi="Cambria" w:asciiTheme="majorHAnsi" w:hAnsiTheme="majorHAnsi"/>
          <w:i/>
          <w:color w:val="auto"/>
          <w:kern w:val="0"/>
          <w:sz w:val="22"/>
          <w:szCs w:val="22"/>
          <w:lang w:val="pl-PL" w:eastAsia="en-US" w:bidi="ar-SA"/>
        </w:rPr>
        <w:t>wystawianie ocen końcowych z przedmiotu.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Cambria" w:hAnsi="Cambria" w:asciiTheme="majorHAnsi" w:hAnsiTheme="majorHAnsi"/>
          <w:b/>
          <w:b/>
          <w:bCs/>
        </w:rPr>
      </w:pPr>
      <w:r>
        <w:rPr>
          <w:rFonts w:asciiTheme="majorHAnsi" w:hAnsiTheme="majorHAnsi" w:ascii="Cambria" w:hAnsi="Cambria"/>
          <w:b/>
          <w:bCs/>
        </w:rPr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Cambria" w:hAnsi="Cambria" w:asciiTheme="majorHAnsi" w:hAnsiTheme="majorHAnsi"/>
          <w:b/>
          <w:b/>
          <w:bCs/>
        </w:rPr>
      </w:pPr>
      <w:r>
        <w:rPr>
          <w:rFonts w:asciiTheme="majorHAnsi" w:hAnsiTheme="majorHAnsi" w:ascii="Cambria" w:hAnsi="Cambria"/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rFonts w:ascii="Cambria" w:hAnsi="Cambria" w:asciiTheme="majorHAnsi" w:hAnsiTheme="majorHAnsi"/>
          <w:b/>
          <w:u w:val="single"/>
        </w:rPr>
        <w:t>II. Zaliczenie zajęć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ascii="Cambria" w:hAnsi="Cambria" w:asciiTheme="majorHAnsi" w:hAnsiTheme="majorHAnsi"/>
        </w:rPr>
        <w:t>zaliczenie na ocenę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ascii="Cambria" w:hAnsi="Cambria" w:asciiTheme="majorHAnsi" w:hAnsiTheme="majorHAnsi"/>
        </w:rPr>
        <w:t xml:space="preserve">praca w </w:t>
      </w:r>
      <w:r>
        <w:rPr>
          <w:rFonts w:ascii="Cambria" w:hAnsi="Cambria" w:asciiTheme="majorHAnsi" w:hAnsiTheme="majorHAnsi"/>
        </w:rPr>
        <w:t>grupach na zajęciach (50 % oceny)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ascii="Cambria" w:hAnsi="Cambria" w:asciiTheme="majorHAnsi" w:hAnsiTheme="majorHAnsi"/>
        </w:rPr>
        <w:t>test zaliczeniowy (max. 20 pytań</w:t>
      </w:r>
      <w:r>
        <w:rPr>
          <w:rFonts w:eastAsia="Calibri" w:ascii="Cambria" w:hAnsi="Cambria" w:asciiTheme="majorHAnsi" w:hAnsiTheme="majorHAnsi"/>
        </w:rPr>
        <w:t>)</w:t>
      </w:r>
    </w:p>
    <w:p>
      <w:pPr>
        <w:pStyle w:val="Normal"/>
        <w:spacing w:lineRule="auto" w:line="360"/>
        <w:jc w:val="both"/>
        <w:rPr/>
      </w:pPr>
      <w:r>
        <w:rPr>
          <w:rFonts w:eastAsia="Calibri" w:ascii="Cambria" w:hAnsi="Cambria" w:asciiTheme="majorHAnsi" w:hAnsiTheme="majorHAnsi"/>
        </w:rPr>
        <w:t>* Ocena końcowa stanowi średnią arytmetyczną ocen z prac domowych oraz oceny z testu, tj:</w:t>
      </w:r>
    </w:p>
    <w:p>
      <w:pPr>
        <w:pStyle w:val="Normal"/>
        <w:spacing w:lineRule="auto" w:line="360"/>
        <w:jc w:val="both"/>
        <w:rPr/>
      </w:pPr>
      <w:r>
        <w:rPr>
          <w:rFonts w:eastAsia="Calibri" w:ascii="Cambria" w:hAnsi="Cambria" w:asciiTheme="majorHAnsi" w:hAnsiTheme="majorHAnsi"/>
        </w:rPr>
        <w:t>- 50 %  oceny końcowej - średnia arytmetyczna ocen z prac pisemnych,</w:t>
      </w:r>
    </w:p>
    <w:p>
      <w:pPr>
        <w:pStyle w:val="Normal"/>
        <w:spacing w:lineRule="auto" w:line="360"/>
        <w:jc w:val="both"/>
        <w:rPr/>
      </w:pPr>
      <w:r>
        <w:rPr>
          <w:rFonts w:eastAsia="Calibri" w:ascii="Cambria" w:hAnsi="Cambria" w:asciiTheme="majorHAnsi" w:hAnsiTheme="majorHAnsi"/>
        </w:rPr>
        <w:t>- 50 % oceny z testu.</w:t>
      </w:r>
    </w:p>
    <w:p>
      <w:pPr>
        <w:pStyle w:val="Normal"/>
        <w:spacing w:lineRule="auto" w:line="360"/>
        <w:jc w:val="both"/>
        <w:rPr/>
      </w:pPr>
      <w:r>
        <w:rPr>
          <w:rFonts w:ascii="Cambria" w:hAnsi="Cambria" w:asciiTheme="majorHAnsi" w:hAnsiTheme="majorHAnsi"/>
          <w:b/>
          <w:u w:val="single"/>
        </w:rPr>
        <w:t>III.</w:t>
      </w:r>
      <w:r>
        <w:rPr>
          <w:rFonts w:ascii="Cambria" w:hAnsi="Cambria" w:asciiTheme="majorHAnsi" w:hAnsiTheme="majorHAnsi"/>
          <w:u w:val="single"/>
        </w:rPr>
        <w:t xml:space="preserve"> </w:t>
      </w:r>
      <w:r>
        <w:rPr>
          <w:rFonts w:ascii="Cambria" w:hAnsi="Cambria" w:asciiTheme="majorHAnsi" w:hAnsiTheme="majorHAnsi"/>
          <w:b/>
          <w:u w:val="single"/>
        </w:rPr>
        <w:t>Konsultacje</w:t>
      </w:r>
      <w:r>
        <w:rPr>
          <w:rFonts w:ascii="Cambria" w:hAnsi="Cambria" w:asciiTheme="majorHAnsi" w:hAnsiTheme="majorHAnsi"/>
          <w:b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rFonts w:ascii="Cambria" w:hAnsi="Cambria" w:asciiTheme="majorHAnsi" w:hAnsiTheme="majorHAnsi"/>
        </w:rPr>
        <w:t>- wskazane na stronie internetowej Wydziału (za pośrednictwem platformy Teams, wiadomości e-mail, czatu na grupie utworzonej dla przedmiotu na platformie Teams)</w:t>
      </w:r>
    </w:p>
    <w:p>
      <w:pPr>
        <w:pStyle w:val="Normal"/>
        <w:spacing w:lineRule="auto" w:line="360"/>
        <w:jc w:val="both"/>
        <w:rPr/>
      </w:pPr>
      <w:r>
        <w:rPr>
          <w:rFonts w:ascii="Cambria" w:hAnsi="Cambria" w:asciiTheme="majorHAnsi" w:hAnsiTheme="majorHAnsi"/>
          <w:b/>
          <w:u w:val="single"/>
        </w:rPr>
        <w:t>IV. Kontakt z prowadzącym zajęcia</w:t>
      </w:r>
    </w:p>
    <w:p>
      <w:pPr>
        <w:pStyle w:val="Normal"/>
        <w:spacing w:lineRule="auto" w:line="360"/>
        <w:jc w:val="both"/>
        <w:rPr/>
      </w:pPr>
      <w:r>
        <w:rPr>
          <w:rFonts w:ascii="Cambria" w:hAnsi="Cambria" w:asciiTheme="majorHAnsi" w:hAnsiTheme="majorHAnsi"/>
        </w:rPr>
        <w:t>- za pośrednictwem poczty elektronicznej (adres wskazany na stronie internetowej) lub na konsultacjach (harmonogram wskazany na stronie)</w:t>
      </w:r>
    </w:p>
    <w:p>
      <w:pPr>
        <w:pStyle w:val="Normal"/>
        <w:spacing w:lineRule="auto" w:line="360"/>
        <w:jc w:val="both"/>
        <w:rPr/>
      </w:pPr>
      <w:r>
        <w:rPr>
          <w:rFonts w:ascii="Cambria" w:hAnsi="Cambria" w:asciiTheme="majorHAnsi" w:hAnsiTheme="majorHAnsi"/>
          <w:b/>
          <w:u w:val="single"/>
        </w:rPr>
        <w:t>V. Obecność na zajęciach</w:t>
      </w:r>
    </w:p>
    <w:p>
      <w:pPr>
        <w:pStyle w:val="Default"/>
        <w:spacing w:lineRule="auto" w:line="360"/>
        <w:jc w:val="both"/>
        <w:rPr/>
      </w:pPr>
      <w:r>
        <w:rPr>
          <w:rFonts w:ascii="Cambria" w:hAnsi="Cambria" w:asciiTheme="majorHAnsi" w:hAnsiTheme="majorHAnsi"/>
          <w:sz w:val="22"/>
          <w:szCs w:val="22"/>
        </w:rPr>
        <w:t>1) KOMUNIKAT Dziekana Wydziału Prawa, Administracji i Ekonomii Uniwersytetu Wrocławskiego z dnia 1 lutego 2021 r. w sprawie organizacji dydaktyki na WPAE w semestrze letnim roku akademickiego 2020/2021</w:t>
      </w:r>
    </w:p>
    <w:p>
      <w:pPr>
        <w:pStyle w:val="Default"/>
        <w:spacing w:lineRule="auto" w:line="360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 w:ascii="Cambria" w:hAnsi="Cambria"/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rFonts w:ascii="Cambria" w:hAnsi="Cambria" w:asciiTheme="majorHAnsi" w:hAnsiTheme="majorHAnsi"/>
          <w:sz w:val="22"/>
          <w:szCs w:val="22"/>
        </w:rPr>
        <w:t>2) Komunikat Dziekana Wydziału Prawa, Administracji i Ekonomii Uniwersytetu Wrocławskiego z dnia 14 września 2020 r. w sprawie zasad prowadzenia zajęć dydaktycznych na Wydziale Prawa, Administracji i Ekonomii UWr, w semestrze zimowym roku akademickiego 2020/2021</w:t>
      </w:r>
    </w:p>
    <w:p>
      <w:pPr>
        <w:pStyle w:val="Default"/>
        <w:spacing w:lineRule="auto" w:line="360"/>
        <w:jc w:val="both"/>
        <w:rPr>
          <w:rFonts w:ascii="Cambria" w:hAnsi="Cambria" w:asciiTheme="majorHAnsi" w:hAnsiTheme="majorHAnsi"/>
          <w:i/>
          <w:i/>
          <w:iCs/>
          <w:sz w:val="22"/>
          <w:szCs w:val="22"/>
        </w:rPr>
      </w:pPr>
      <w:r>
        <w:rPr>
          <w:rFonts w:asciiTheme="majorHAnsi" w:hAnsiTheme="majorHAnsi" w:ascii="Cambria" w:hAnsi="Cambria"/>
          <w:i/>
          <w:iCs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  <w:i w:val="false"/>
          <w:i w:val="false"/>
          <w:iCs w:val="false"/>
          <w:u w:val="single"/>
        </w:rPr>
      </w:pPr>
      <w:r>
        <w:rPr>
          <w:rFonts w:ascii="Cambria" w:hAnsi="Cambria" w:asciiTheme="majorHAnsi" w:hAnsiTheme="majorHAnsi"/>
          <w:b/>
          <w:bCs/>
          <w:i w:val="false"/>
          <w:iCs w:val="false"/>
          <w:sz w:val="22"/>
          <w:szCs w:val="22"/>
          <w:u w:val="single"/>
        </w:rPr>
        <w:t>VI. Monitorowanie zmian w systemie USOSweb</w:t>
      </w:r>
    </w:p>
    <w:p>
      <w:pPr>
        <w:pStyle w:val="Default"/>
        <w:spacing w:lineRule="auto" w:line="360"/>
        <w:jc w:val="both"/>
        <w:rPr>
          <w:i w:val="false"/>
          <w:i w:val="false"/>
          <w:iCs w:val="false"/>
        </w:rPr>
      </w:pPr>
      <w:r>
        <w:rPr>
          <w:rFonts w:ascii="Cambria" w:hAnsi="Cambria" w:asciiTheme="majorHAnsi" w:hAnsiTheme="majorHAnsi"/>
          <w:i w:val="false"/>
          <w:iCs w:val="false"/>
          <w:sz w:val="22"/>
          <w:szCs w:val="22"/>
        </w:rPr>
        <w:t>- Uchwała nr 103/IX/2015 Rady Wydziału Prawa, Administracji i Ekonomii Uniwersytetu Wrocławskiego z dnia 21 września 2015 r. W sprawie dokumentowania przebiegu studiów na jednolitych studiach magisterskich, studiach pierwszego i drugiego stopnia oraz w innych sprawach dydaktycznych na Wydziale Prawa, Administracji i Ekonomii UWr (§ 4)</w:t>
      </w:r>
    </w:p>
    <w:p>
      <w:pPr>
        <w:pStyle w:val="Default"/>
        <w:spacing w:lineRule="auto" w:line="360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 w:ascii="Cambria" w:hAnsi="Cambria"/>
          <w:sz w:val="22"/>
          <w:szCs w:val="22"/>
        </w:rPr>
      </w:r>
    </w:p>
    <w:p>
      <w:pPr>
        <w:pStyle w:val="Default"/>
        <w:spacing w:lineRule="auto" w:line="360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 w:ascii="Cambria" w:hAnsi="Cambria"/>
          <w:sz w:val="22"/>
          <w:szCs w:val="22"/>
        </w:rPr>
      </w:r>
    </w:p>
    <w:p>
      <w:pPr>
        <w:pStyle w:val="Default"/>
        <w:spacing w:lineRule="auto" w:line="360"/>
        <w:jc w:val="both"/>
        <w:rPr>
          <w:rFonts w:ascii="Cambria" w:hAnsi="Cambria" w:asciiTheme="majorHAnsi" w:hAnsiTheme="majorHAnsi"/>
          <w:b/>
          <w:b/>
          <w:bCs/>
          <w:sz w:val="22"/>
          <w:szCs w:val="22"/>
          <w:u w:val="single"/>
        </w:rPr>
      </w:pPr>
      <w:r>
        <w:rPr>
          <w:rFonts w:asciiTheme="majorHAnsi" w:hAnsiTheme="majorHAnsi" w:ascii="Cambria" w:hAnsi="Cambria"/>
          <w:b/>
          <w:bCs/>
          <w:sz w:val="22"/>
          <w:szCs w:val="22"/>
          <w:u w:val="single"/>
        </w:rPr>
      </w:r>
    </w:p>
    <w:p>
      <w:pPr>
        <w:pStyle w:val="Default"/>
        <w:spacing w:lineRule="auto" w:line="360"/>
        <w:jc w:val="both"/>
        <w:rPr/>
      </w:pPr>
      <w:r>
        <w:rPr>
          <w:rFonts w:ascii="Cambria" w:hAnsi="Cambria" w:asciiTheme="majorHAnsi" w:hAnsiTheme="majorHAnsi"/>
          <w:b/>
          <w:bCs/>
          <w:sz w:val="22"/>
          <w:szCs w:val="22"/>
          <w:u w:val="single"/>
        </w:rPr>
        <w:t>VI. Literatura</w:t>
      </w:r>
    </w:p>
    <w:p>
      <w:pPr>
        <w:pStyle w:val="Default"/>
        <w:spacing w:lineRule="auto" w:line="360"/>
        <w:jc w:val="both"/>
        <w:rPr>
          <w:rFonts w:ascii="Cambria" w:hAnsi="Cambria" w:asciiTheme="majorHAnsi" w:hAnsiTheme="majorHAnsi"/>
          <w:b/>
          <w:b/>
          <w:bCs/>
          <w:sz w:val="22"/>
          <w:szCs w:val="22"/>
          <w:u w:val="single"/>
        </w:rPr>
      </w:pPr>
      <w:r>
        <w:rPr>
          <w:rFonts w:asciiTheme="majorHAnsi" w:hAnsiTheme="majorHAnsi" w:ascii="Cambria" w:hAnsi="Cambria"/>
          <w:b/>
          <w:bCs/>
          <w:sz w:val="22"/>
          <w:szCs w:val="22"/>
          <w:u w:val="single"/>
        </w:rPr>
      </w:r>
    </w:p>
    <w:p>
      <w:pPr>
        <w:pStyle w:val="Default"/>
        <w:spacing w:lineRule="auto" w:line="360"/>
        <w:jc w:val="both"/>
        <w:rPr/>
      </w:pPr>
      <w:r>
        <w:rPr>
          <w:rFonts w:ascii="Cambria" w:hAnsi="Cambria" w:asciiTheme="majorHAnsi" w:hAnsiTheme="majorHAnsi"/>
          <w:b w:val="false"/>
          <w:bCs w:val="false"/>
          <w:sz w:val="22"/>
          <w:szCs w:val="22"/>
        </w:rPr>
        <w:t>- zalecana literatura podstawowa oraz uzupełniająca została wskazana w treści dokumentu zawierającego opis przedmiotu (sylabus);</w:t>
      </w:r>
    </w:p>
    <w:p>
      <w:pPr>
        <w:pStyle w:val="Default"/>
        <w:spacing w:lineRule="auto" w:line="360"/>
        <w:jc w:val="both"/>
        <w:rPr>
          <w:rFonts w:ascii="Cambria" w:hAnsi="Cambria" w:asciiTheme="majorHAnsi" w:hAnsiTheme="majorHAnsi"/>
          <w:b w:val="false"/>
          <w:b w:val="false"/>
          <w:bCs w:val="false"/>
          <w:sz w:val="22"/>
          <w:szCs w:val="22"/>
        </w:rPr>
      </w:pPr>
      <w:r>
        <w:rPr>
          <w:rFonts w:asciiTheme="majorHAnsi" w:hAnsiTheme="majorHAnsi" w:ascii="Cambria" w:hAnsi="Cambria"/>
          <w:b w:val="false"/>
          <w:bCs w:val="false"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</w:rPr>
      </w:pPr>
      <w:r>
        <w:rPr>
          <w:rFonts w:ascii="Cambria" w:hAnsi="Cambria" w:asciiTheme="majorHAnsi" w:hAnsiTheme="majorHAnsi"/>
          <w:b/>
          <w:bCs/>
          <w:sz w:val="22"/>
          <w:szCs w:val="22"/>
        </w:rPr>
        <w:t>1) literatura podstawowa:</w:t>
      </w:r>
    </w:p>
    <w:p>
      <w:pPr>
        <w:pStyle w:val="Default"/>
        <w:spacing w:lineRule="auto" w:line="360"/>
        <w:jc w:val="both"/>
        <w:rPr/>
      </w:pPr>
      <w:r>
        <w:rPr>
          <w:rFonts w:ascii="Cambria" w:hAnsi="Cambria" w:asciiTheme="majorHAnsi" w:hAnsiTheme="majorHAnsi"/>
          <w:b w:val="false"/>
          <w:bCs w:val="false"/>
          <w:sz w:val="22"/>
          <w:szCs w:val="22"/>
        </w:rPr>
        <w:t>a) „Prawo Karne Wykonawcze:, Kuć M.,</w:t>
      </w:r>
    </w:p>
    <w:p>
      <w:pPr>
        <w:pStyle w:val="Default"/>
        <w:spacing w:lineRule="auto" w:line="360"/>
        <w:jc w:val="both"/>
        <w:rPr/>
      </w:pPr>
      <w:r>
        <w:rPr>
          <w:rFonts w:ascii="Cambria" w:hAnsi="Cambria" w:asciiTheme="majorHAnsi" w:hAnsiTheme="majorHAnsi"/>
          <w:b w:val="false"/>
          <w:bCs w:val="false"/>
          <w:sz w:val="22"/>
          <w:szCs w:val="22"/>
        </w:rPr>
        <w:t xml:space="preserve">b) „Prawo karne wykonawcze”, Hołda J., Hołda Z., Żórawska B., </w:t>
      </w:r>
    </w:p>
    <w:p>
      <w:pPr>
        <w:pStyle w:val="Default"/>
        <w:spacing w:lineRule="auto" w:line="360"/>
        <w:jc w:val="both"/>
        <w:rPr/>
      </w:pPr>
      <w:r>
        <w:rPr>
          <w:rFonts w:ascii="Cambria" w:hAnsi="Cambria" w:asciiTheme="majorHAnsi" w:hAnsiTheme="majorHAnsi"/>
          <w:b w:val="false"/>
          <w:bCs w:val="false"/>
          <w:sz w:val="22"/>
          <w:szCs w:val="22"/>
        </w:rPr>
        <w:t>c) Prawo karne wykonawcze i polityka penitencjarna, T.Szymanowski, J.Migdał,</w:t>
      </w:r>
    </w:p>
    <w:p>
      <w:pPr>
        <w:pStyle w:val="Default"/>
        <w:spacing w:lineRule="auto" w:line="360"/>
        <w:jc w:val="both"/>
        <w:rPr>
          <w:rFonts w:ascii="Cambria" w:hAnsi="Cambria" w:asciiTheme="majorHAnsi" w:hAnsiTheme="majorHAnsi"/>
          <w:b w:val="false"/>
          <w:b w:val="false"/>
          <w:bCs w:val="false"/>
          <w:sz w:val="22"/>
          <w:szCs w:val="22"/>
        </w:rPr>
      </w:pPr>
      <w:r>
        <w:rPr>
          <w:rFonts w:asciiTheme="majorHAnsi" w:hAnsiTheme="majorHAnsi" w:ascii="Cambria" w:hAnsi="Cambria"/>
          <w:b w:val="false"/>
          <w:bCs w:val="false"/>
          <w:sz w:val="22"/>
          <w:szCs w:val="22"/>
        </w:rPr>
      </w:r>
    </w:p>
    <w:p>
      <w:pPr>
        <w:pStyle w:val="Default"/>
        <w:spacing w:lineRule="auto" w:line="360"/>
        <w:jc w:val="both"/>
        <w:rPr>
          <w:b/>
          <w:b/>
          <w:bCs/>
        </w:rPr>
      </w:pPr>
      <w:r>
        <w:rPr>
          <w:rFonts w:ascii="Cambria" w:hAnsi="Cambria" w:asciiTheme="majorHAnsi" w:hAnsiTheme="majorHAnsi"/>
          <w:b/>
          <w:bCs/>
          <w:sz w:val="22"/>
          <w:szCs w:val="22"/>
        </w:rPr>
        <w:t xml:space="preserve">2) literatura uzupełniająca: </w:t>
      </w:r>
    </w:p>
    <w:p>
      <w:pPr>
        <w:pStyle w:val="Default"/>
        <w:spacing w:lineRule="auto" w:line="360"/>
        <w:jc w:val="both"/>
        <w:rPr/>
      </w:pPr>
      <w:r>
        <w:rPr>
          <w:rFonts w:ascii="Cambria" w:hAnsi="Cambria" w:asciiTheme="majorHAnsi" w:hAnsiTheme="majorHAnsi"/>
          <w:b w:val="false"/>
          <w:bCs w:val="false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b w:val="false"/>
          <w:bCs w:val="false"/>
          <w:sz w:val="22"/>
          <w:szCs w:val="22"/>
        </w:rPr>
        <w:t xml:space="preserve">a) „Kodeks karny wykonawczy – komentarz”, Postulski K., Wolters Kluwer. </w:t>
      </w:r>
    </w:p>
    <w:p>
      <w:pPr>
        <w:pStyle w:val="Default"/>
        <w:spacing w:lineRule="auto" w:line="360"/>
        <w:jc w:val="both"/>
        <w:rPr/>
      </w:pPr>
      <w:r>
        <w:rPr>
          <w:rFonts w:ascii="Cambria" w:hAnsi="Cambria" w:asciiTheme="majorHAnsi" w:hAnsiTheme="majorHAnsi"/>
          <w:b w:val="false"/>
          <w:bCs w:val="false"/>
          <w:sz w:val="22"/>
          <w:szCs w:val="22"/>
        </w:rPr>
        <w:t xml:space="preserve">b) „Kodeks karny wykonawczy. Komentarz”, Lelental S., Wydawnictwo C.H.Beck. </w:t>
      </w:r>
    </w:p>
    <w:p>
      <w:pPr>
        <w:pStyle w:val="Default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498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unhideWhenUsed/>
    <w:rsid w:val="00ac4981"/>
    <w:rPr>
      <w:color w:val="0000FF"/>
      <w:u w:val="single"/>
    </w:rPr>
  </w:style>
  <w:style w:type="character" w:styleId="Wrtext" w:customStyle="1">
    <w:name w:val="wrtext"/>
    <w:basedOn w:val="DefaultParagraphFont"/>
    <w:qFormat/>
    <w:rsid w:val="00ac4981"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ac4981"/>
    <w:pPr>
      <w:widowControl/>
      <w:bidi w:val="0"/>
      <w:spacing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LibreOffice/7.3.2.2$Windows_X86_64 LibreOffice_project/49f2b1bff42cfccbd8f788c8dc32c1c309559be0</Application>
  <AppVersion>15.0000</AppVersion>
  <DocSecurity>0</DocSecurity>
  <Pages>3</Pages>
  <Words>440</Words>
  <Characters>2780</Characters>
  <CharactersWithSpaces>3167</CharactersWithSpaces>
  <Paragraphs>47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2021-03-08T08:50:00Z</dcterms:created>
  <dc:creator>Agata</dc:creator>
  <dc:description/>
  <dc:language>pl-PL</dc:language>
  <cp:lastModifiedBy/>
  <dcterms:modified xsi:type="dcterms:W3CDTF">2022-05-22T08:58:36Z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