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93" w:rsidRDefault="00E06693" w:rsidP="00E06693">
      <w:pPr>
        <w:rPr>
          <w:lang w:val="pl-PL"/>
        </w:rPr>
      </w:pPr>
      <w:r>
        <w:rPr>
          <w:lang w:val="pl-PL"/>
        </w:rPr>
        <w:t>Grupa: 268699, 295573, 295580, 267687, 265393</w:t>
      </w:r>
    </w:p>
    <w:p w:rsidR="00E06693" w:rsidRDefault="00E06693" w:rsidP="00E06693">
      <w:pPr>
        <w:rPr>
          <w:lang w:val="pl-PL"/>
        </w:rPr>
      </w:pPr>
      <w:r>
        <w:rPr>
          <w:lang w:val="pl-PL"/>
        </w:rPr>
        <w:t>Zarzut:</w:t>
      </w:r>
    </w:p>
    <w:p w:rsidR="00E06693" w:rsidRDefault="00E06693" w:rsidP="00E06693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Braku konkretnej miejscowości – w zadaniu była miejscowość „Miasto”, celowo napisana wielką literą. „Miasto” to miejscowość wymyślona na potrzeby zadania. Równie dobrze mógł być „Wrocław”.</w:t>
      </w:r>
    </w:p>
    <w:p w:rsidR="00E06693" w:rsidRDefault="00E06693" w:rsidP="00E06693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14 listopada 20016 r. – zła data. Zgadza się, ale przywołana podstawa prawna (art. 107 § 1 k.p.a.) nie mówi, jak rozwiązać oczywistą omyłkę pisarską. W tym przypadku zachodzi konieczność zastosowania trybu art. 113 k.p.a. – rektyfikacja decyzji i postanowień.</w:t>
      </w:r>
    </w:p>
    <w:p w:rsidR="00E06693" w:rsidRDefault="00E06693" w:rsidP="00E06693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Brak imion i nazwisk i stanowisk służbowych składu Samorządowego Kolegium Odwoławczego – stanowiska są wymienione: jest przewodniczący oraz dwóch członków. Kolegium orzeka w składach trzyosobowych. Imiona i nazwiska są fikcyjne: Szef Szefów, Członek Pierwszy, Członek Drugi – równie dobrze mógł być to Jan Kowalski itd.</w:t>
      </w:r>
    </w:p>
    <w:p w:rsidR="00E06693" w:rsidRDefault="00E06693" w:rsidP="00E06693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Stroną w postępowaniu jest – Niezadowolona (imię) Strona (nazwisko).</w:t>
      </w:r>
    </w:p>
    <w:p w:rsidR="00E06693" w:rsidRDefault="00E06693" w:rsidP="00E06693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Zły sposób obliczania terminu – błąd odnaleziony, poprawna podstawa prawna.</w:t>
      </w:r>
    </w:p>
    <w:p w:rsidR="00AC73C8" w:rsidRDefault="00AC73C8" w:rsidP="00E06693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Termin został zachowany – liczy się data nadania (zachowanie terminu). Odpowiedź poprawna.</w:t>
      </w:r>
    </w:p>
    <w:p w:rsidR="00AC73C8" w:rsidRDefault="00AC73C8" w:rsidP="00E06693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Uwaga co do możliwości przywrócenia terminu – zgodnie z treścią art. 58 § 1 k.p.a. „</w:t>
      </w:r>
      <w:r w:rsidRPr="00AC73C8">
        <w:rPr>
          <w:lang w:val="pl-PL"/>
        </w:rPr>
        <w:t xml:space="preserve">W razie uchybienia terminu należy przywrócić termin </w:t>
      </w:r>
      <w:r w:rsidRPr="00AC73C8">
        <w:rPr>
          <w:b/>
          <w:lang w:val="pl-PL"/>
        </w:rPr>
        <w:t>na prośbę</w:t>
      </w:r>
      <w:r w:rsidRPr="00AC73C8">
        <w:rPr>
          <w:lang w:val="pl-PL"/>
        </w:rPr>
        <w:t xml:space="preserve"> zainteresowanego</w:t>
      </w:r>
      <w:r>
        <w:rPr>
          <w:lang w:val="pl-PL"/>
        </w:rPr>
        <w:t xml:space="preserve">…”. W kazusie strona wniosła odwołanie, bez prośby o przywrócenie terminu. Jak słusznie grupa zauważyła – odwołanie zostało wniesione w terminie. POSTANOWIENIE stwierdzające uchybienie terminu do wniesienia odwołania zostały wydane na skutek błędnego obliczenia terminów przez organ. Prawidłowo, odwołanie strony od decyzji powinno zostać rozpatrzone. </w:t>
      </w:r>
    </w:p>
    <w:p w:rsidR="00AC73C8" w:rsidRDefault="00AC73C8" w:rsidP="00E06693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POSTANOWIENIE stwierdzające uchybienie terminu do wniesienia odwołania a nie DECYZJA! (art. 134 k.p.a.)</w:t>
      </w:r>
    </w:p>
    <w:p w:rsidR="00AC73C8" w:rsidRDefault="00AC73C8" w:rsidP="00046B8F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Grupa twierdzi, że odwołanie powinno być wniesione za pośrednictwem Prezydenta Miasta do SKO</w:t>
      </w:r>
      <w:r w:rsidR="00046B8F">
        <w:rPr>
          <w:lang w:val="pl-PL"/>
        </w:rPr>
        <w:t xml:space="preserve">, a nie bezpośrednio do SKO. Zasada się zgadza (cieszę się, że Panie słuchały prowadzącego na zajęciach </w:t>
      </w:r>
      <w:r w:rsidR="00046B8F" w:rsidRPr="00046B8F">
        <w:rPr>
          <w:lang w:val="pl-PL"/>
        </w:rPr>
        <w:sym w:font="Wingdings" w:char="F04A"/>
      </w:r>
      <w:r w:rsidR="00046B8F">
        <w:rPr>
          <w:lang w:val="pl-PL"/>
        </w:rPr>
        <w:t>), jednakże nie ma zastosowania do stanu faktycznego sprawy. Skrót stanu faktycznego w kazusie – Prezydent Miasta wydał decyzję stronie. Strona była niezadowolona z decyzji. Strona wniosła odwołanie. Organ odwoławczy (SKO) stwierdził, że strona uchybiła terminowi na wniesienie odwołania. Organ odwoławczy wydał postanowienie (w kazusie celowo pismo błędnie zatytułowałem „decyzja”) o uchybieniu terminu do wniesienia odwołania, które jest ostateczne (art. 134 k.p.a.). Strona tak naprawdę zmieściła się w terminie, jednakże postanowienie istnieje w obrocie prawnym. Na takie postanowienie przysługuje skarga do WSA za pośrednictwem SKO (w kazusie)</w:t>
      </w:r>
      <w:r w:rsidR="00F9291C">
        <w:rPr>
          <w:lang w:val="pl-PL"/>
        </w:rPr>
        <w:t xml:space="preserve"> w terminie 30 DNI (słuszna uwaga grupy) od dnia doręczenia postanowienia stronie</w:t>
      </w:r>
      <w:r w:rsidR="00046B8F">
        <w:rPr>
          <w:lang w:val="pl-PL"/>
        </w:rPr>
        <w:t xml:space="preserve">. Proszę zobaczyć slajd 88 </w:t>
      </w:r>
      <w:hyperlink r:id="rId5" w:history="1">
        <w:r w:rsidR="00046B8F" w:rsidRPr="00214BB3">
          <w:rPr>
            <w:rStyle w:val="Hipercze"/>
            <w:lang w:val="pl-PL"/>
          </w:rPr>
          <w:t>https://prawo.uni.wroc.pl/sites/default/files/students-resources/Post%C4%99powanie%20s%C4%85dowoadministracyjne%20-%20zaj%C4%99cia%204.pdf</w:t>
        </w:r>
      </w:hyperlink>
      <w:r w:rsidR="00046B8F">
        <w:rPr>
          <w:lang w:val="pl-PL"/>
        </w:rPr>
        <w:t xml:space="preserve"> </w:t>
      </w:r>
    </w:p>
    <w:p w:rsidR="00F9291C" w:rsidRDefault="00F9291C" w:rsidP="00F9291C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Rozdzielnik decyzji – Niezadowolona Strona a nie Niezadowolony Petent – znalezienie tego błędu świadczy o wysokim poziomie spostrzegalności grupy. </w:t>
      </w:r>
    </w:p>
    <w:p w:rsidR="00F9291C" w:rsidRDefault="00F9291C" w:rsidP="00F9291C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Grupa twierdzi, że uchybienie terminu nie powoduje bezskuteczności odwołania, gdyż istnieje możliwość przywrócenia terminu do  wniesienia odwołania oraz brak tutaj </w:t>
      </w:r>
      <w:proofErr w:type="spellStart"/>
      <w:r>
        <w:rPr>
          <w:lang w:val="pl-PL"/>
        </w:rPr>
        <w:t>sktku</w:t>
      </w:r>
      <w:proofErr w:type="spellEnd"/>
      <w:r>
        <w:rPr>
          <w:lang w:val="pl-PL"/>
        </w:rPr>
        <w:t xml:space="preserve"> ostateczności decyzji administracyjnej. Zasadą jest, że decyzja jest ostateczna, g</w:t>
      </w:r>
      <w:r w:rsidRPr="00F9291C">
        <w:rPr>
          <w:lang w:val="pl-PL"/>
        </w:rPr>
        <w:t xml:space="preserve">dy minął </w:t>
      </w:r>
      <w:r w:rsidRPr="00F9291C">
        <w:rPr>
          <w:lang w:val="pl-PL"/>
        </w:rPr>
        <w:lastRenderedPageBreak/>
        <w:t>termin 14 dni od doręczenia decyzji do wniesienia odwołania</w:t>
      </w:r>
      <w:r>
        <w:rPr>
          <w:lang w:val="pl-PL"/>
        </w:rPr>
        <w:t>. Przywrócenie terminu do wniesienia odwołania jest wyjątkiem (zob. slajd 78) prezentacji z 4 zajęć.</w:t>
      </w:r>
    </w:p>
    <w:p w:rsidR="00F9291C" w:rsidRDefault="00F9291C" w:rsidP="00F9291C">
      <w:pPr>
        <w:rPr>
          <w:lang w:val="pl-PL"/>
        </w:rPr>
      </w:pPr>
      <w:r>
        <w:rPr>
          <w:lang w:val="pl-PL"/>
        </w:rPr>
        <w:t>Grupa 264787, 263660, 294686</w:t>
      </w:r>
    </w:p>
    <w:p w:rsidR="00F9291C" w:rsidRDefault="00F9291C" w:rsidP="00F9291C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Brak pieczątki – pieczątka nie jest wymagana, aczkolwiek stosuje się ją w praktyce. </w:t>
      </w:r>
    </w:p>
    <w:p w:rsidR="00F9291C" w:rsidRDefault="00F9291C" w:rsidP="00F9291C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Brak oznaczenia organu – jest na samym środku „Samorządowe Kolegium Odwoławcze”</w:t>
      </w:r>
    </w:p>
    <w:p w:rsidR="00F9291C" w:rsidRDefault="00F9291C" w:rsidP="00F9291C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Rektyfikacja 20016 r. – błąd znaleziony</w:t>
      </w:r>
    </w:p>
    <w:p w:rsidR="00F9291C" w:rsidRDefault="00F9291C" w:rsidP="00F9291C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Brak – brak oznaczenia strony – strona to „Niezadowolona Strona”</w:t>
      </w:r>
    </w:p>
    <w:p w:rsidR="00F9291C" w:rsidRDefault="00F9291C" w:rsidP="00F9291C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11 listopada 2016 r. – dzień ustawowo wolny od pracy. Brawo za spostrzegawczość. </w:t>
      </w:r>
    </w:p>
    <w:p w:rsidR="00D329FE" w:rsidRDefault="00D329FE" w:rsidP="00F9291C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Termin do wniesienia odwołania biegnie od 19 a nie 18 listopada – błąd znaleziony</w:t>
      </w:r>
    </w:p>
    <w:p w:rsidR="00D329FE" w:rsidRDefault="00D329FE" w:rsidP="00F9291C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Strona nie uchybiła terminowi – błąd znaleziony</w:t>
      </w:r>
    </w:p>
    <w:p w:rsidR="00D329FE" w:rsidRDefault="00D329FE" w:rsidP="00F9291C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Postanowienie czy decyzja? – Państwo pytacie. Ja pytam jeszcze mocniej. Jest to postanowienie (art. 134 k.p.a.)</w:t>
      </w:r>
    </w:p>
    <w:p w:rsidR="00D329FE" w:rsidRDefault="00D329FE" w:rsidP="00F9291C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Na postanowienie służy zażalenie w terminie 7 dni – zasadniczo tak, ale postanowienie z art. 134 k.p.a. jest ostateczne. Służy na nie skarga do sądu administracyjnego</w:t>
      </w:r>
    </w:p>
    <w:p w:rsidR="00D329FE" w:rsidRDefault="00D329FE" w:rsidP="00D329FE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Rozdzielnik decyzji – Niezadowolona Strona a nie Niezadowolony Petent – znalezienie tego błędu świadczy o wysokim poziomie spostrzegalności grupy. </w:t>
      </w:r>
    </w:p>
    <w:p w:rsidR="00D329FE" w:rsidRDefault="00D329FE" w:rsidP="00F9291C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Brak podpisów organu – słusznie</w:t>
      </w:r>
    </w:p>
    <w:p w:rsidR="00D329FE" w:rsidRDefault="00D329FE" w:rsidP="00F9291C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Odwołanie strony do SKO powinno być rozpatrzone – słusznie.</w:t>
      </w:r>
    </w:p>
    <w:p w:rsidR="00D329FE" w:rsidRDefault="00D329FE" w:rsidP="00D329FE">
      <w:pPr>
        <w:rPr>
          <w:lang w:val="pl-PL"/>
        </w:rPr>
      </w:pPr>
      <w:r>
        <w:rPr>
          <w:lang w:val="pl-PL"/>
        </w:rPr>
        <w:t>Grupa 265708, 266281, 266034, 266094</w:t>
      </w:r>
    </w:p>
    <w:p w:rsidR="00D329FE" w:rsidRDefault="00D329FE" w:rsidP="00D329FE">
      <w:pPr>
        <w:pStyle w:val="Akapitzlist"/>
        <w:numPr>
          <w:ilvl w:val="0"/>
          <w:numId w:val="4"/>
        </w:numPr>
        <w:rPr>
          <w:lang w:val="pl-PL"/>
        </w:rPr>
      </w:pPr>
      <w:r>
        <w:rPr>
          <w:lang w:val="pl-PL"/>
        </w:rPr>
        <w:t>Postanowienie a nie decyzja – dobrze.</w:t>
      </w:r>
    </w:p>
    <w:p w:rsidR="00D329FE" w:rsidRDefault="00D329FE" w:rsidP="00D329FE">
      <w:pPr>
        <w:pStyle w:val="Akapitzlist"/>
        <w:numPr>
          <w:ilvl w:val="0"/>
          <w:numId w:val="4"/>
        </w:numPr>
        <w:rPr>
          <w:lang w:val="pl-PL"/>
        </w:rPr>
      </w:pPr>
      <w:r>
        <w:rPr>
          <w:lang w:val="pl-PL"/>
        </w:rPr>
        <w:t>Organ był poprawnie oznaczony – źle</w:t>
      </w:r>
    </w:p>
    <w:p w:rsidR="00D329FE" w:rsidRDefault="00D329FE" w:rsidP="00D329FE">
      <w:pPr>
        <w:pStyle w:val="Akapitzlist"/>
        <w:numPr>
          <w:ilvl w:val="0"/>
          <w:numId w:val="4"/>
        </w:numPr>
        <w:rPr>
          <w:lang w:val="pl-PL"/>
        </w:rPr>
      </w:pPr>
      <w:r>
        <w:rPr>
          <w:lang w:val="pl-PL"/>
        </w:rPr>
        <w:t xml:space="preserve">2016 a nie 20016 – dobrze, ale brak podstawy prawnej i rozwiązania (rektyfikacja) </w:t>
      </w:r>
    </w:p>
    <w:p w:rsidR="00D329FE" w:rsidRDefault="00D329FE" w:rsidP="00D329FE">
      <w:pPr>
        <w:pStyle w:val="Akapitzlist"/>
        <w:numPr>
          <w:ilvl w:val="0"/>
          <w:numId w:val="4"/>
        </w:numPr>
        <w:rPr>
          <w:lang w:val="pl-PL"/>
        </w:rPr>
      </w:pPr>
      <w:r>
        <w:rPr>
          <w:lang w:val="pl-PL"/>
        </w:rPr>
        <w:t>Brak wskazania imion i nazwisk – były fikcyjne (zob. uwagi do pierwszej grupy)</w:t>
      </w:r>
    </w:p>
    <w:p w:rsidR="00D329FE" w:rsidRDefault="00D329FE" w:rsidP="00D329FE">
      <w:pPr>
        <w:pStyle w:val="Akapitzlist"/>
        <w:numPr>
          <w:ilvl w:val="0"/>
          <w:numId w:val="4"/>
        </w:numPr>
        <w:rPr>
          <w:lang w:val="pl-PL"/>
        </w:rPr>
      </w:pPr>
      <w:r>
        <w:rPr>
          <w:lang w:val="pl-PL"/>
        </w:rPr>
        <w:t>Termin został zachowany – dobrze</w:t>
      </w:r>
    </w:p>
    <w:p w:rsidR="00D329FE" w:rsidRDefault="00675E97" w:rsidP="00D329FE">
      <w:pPr>
        <w:pStyle w:val="Akapitzlist"/>
        <w:numPr>
          <w:ilvl w:val="0"/>
          <w:numId w:val="4"/>
        </w:numPr>
        <w:rPr>
          <w:lang w:val="pl-PL"/>
        </w:rPr>
      </w:pPr>
      <w:r>
        <w:rPr>
          <w:lang w:val="pl-PL"/>
        </w:rPr>
        <w:t>Warunkiem dochowania ustawowego terminu było wniesienie odwołania najpóźniej w dniu 5 grudnia 2016 r. – źle</w:t>
      </w:r>
    </w:p>
    <w:p w:rsidR="00675E97" w:rsidRDefault="00675E97" w:rsidP="00D329FE">
      <w:pPr>
        <w:pStyle w:val="Akapitzlist"/>
        <w:numPr>
          <w:ilvl w:val="0"/>
          <w:numId w:val="4"/>
        </w:numPr>
        <w:rPr>
          <w:lang w:val="pl-PL"/>
        </w:rPr>
      </w:pPr>
      <w:r>
        <w:rPr>
          <w:lang w:val="pl-PL"/>
        </w:rPr>
        <w:t>Skarga nie do „Właściwego” Sądu Administracyjnego a do „Wojewódzkiego Sądu Administracyjnego” Wprawdzie właściwy jest Wojewódzki Sąd Administracyjny, ale nie napisać w pouczeniu, że skarga służy do właściwego sądu. To tak jak się pytam między kim zachodzi spór kompetencyjny. Odpowiadacie Państwo – między organami. Jakimi? Właściwymi – głęboka wiedza, doprawdy głęboka wiedza.</w:t>
      </w:r>
    </w:p>
    <w:p w:rsidR="00675E97" w:rsidRDefault="00675E97" w:rsidP="00675E97">
      <w:pPr>
        <w:pStyle w:val="Akapitzlist"/>
        <w:numPr>
          <w:ilvl w:val="0"/>
          <w:numId w:val="4"/>
        </w:numPr>
        <w:rPr>
          <w:lang w:val="pl-PL"/>
        </w:rPr>
      </w:pPr>
      <w:r>
        <w:rPr>
          <w:lang w:val="pl-PL"/>
        </w:rPr>
        <w:t>Brak podpisów organu –</w:t>
      </w:r>
      <w:r>
        <w:rPr>
          <w:lang w:val="pl-PL"/>
        </w:rPr>
        <w:t xml:space="preserve"> dobrze</w:t>
      </w:r>
    </w:p>
    <w:p w:rsidR="00675E97" w:rsidRDefault="00675E97" w:rsidP="00675E97">
      <w:pPr>
        <w:rPr>
          <w:lang w:val="pl-PL"/>
        </w:rPr>
      </w:pPr>
      <w:r>
        <w:rPr>
          <w:lang w:val="pl-PL"/>
        </w:rPr>
        <w:t>Grupa: 266544, 263831, 267543, 294338</w:t>
      </w:r>
    </w:p>
    <w:p w:rsidR="00675E97" w:rsidRDefault="00675E97" w:rsidP="00675E97">
      <w:pPr>
        <w:pStyle w:val="Akapitzlist"/>
        <w:numPr>
          <w:ilvl w:val="0"/>
          <w:numId w:val="6"/>
        </w:numPr>
        <w:rPr>
          <w:lang w:val="pl-PL"/>
        </w:rPr>
      </w:pPr>
      <w:r>
        <w:rPr>
          <w:lang w:val="pl-PL"/>
        </w:rPr>
        <w:t>Organ był poprawnie oznaczony – źle</w:t>
      </w:r>
    </w:p>
    <w:p w:rsidR="00675E97" w:rsidRDefault="00675E97" w:rsidP="00675E97">
      <w:pPr>
        <w:pStyle w:val="Akapitzlist"/>
        <w:numPr>
          <w:ilvl w:val="0"/>
          <w:numId w:val="6"/>
        </w:numPr>
        <w:rPr>
          <w:lang w:val="pl-PL"/>
        </w:rPr>
      </w:pPr>
      <w:r>
        <w:rPr>
          <w:lang w:val="pl-PL"/>
        </w:rPr>
        <w:t>2016 a nie 20016</w:t>
      </w:r>
      <w:r>
        <w:rPr>
          <w:lang w:val="pl-PL"/>
        </w:rPr>
        <w:t xml:space="preserve"> – dobrze, pełna odpowiedź</w:t>
      </w:r>
    </w:p>
    <w:p w:rsidR="00675E97" w:rsidRDefault="00675E97" w:rsidP="00675E97">
      <w:pPr>
        <w:pStyle w:val="Akapitzlist"/>
        <w:numPr>
          <w:ilvl w:val="0"/>
          <w:numId w:val="6"/>
        </w:numPr>
        <w:rPr>
          <w:lang w:val="pl-PL"/>
        </w:rPr>
      </w:pPr>
      <w:r>
        <w:rPr>
          <w:lang w:val="pl-PL"/>
        </w:rPr>
        <w:t>Art. 134 k.p.a. – zarzuciliście Państwo jej poprawność, niesłusznie – źle</w:t>
      </w:r>
    </w:p>
    <w:p w:rsidR="00675E97" w:rsidRDefault="00675E97" w:rsidP="00675E97">
      <w:pPr>
        <w:pStyle w:val="Akapitzlist"/>
        <w:numPr>
          <w:ilvl w:val="0"/>
          <w:numId w:val="6"/>
        </w:numPr>
        <w:rPr>
          <w:lang w:val="pl-PL"/>
        </w:rPr>
      </w:pPr>
      <w:r>
        <w:rPr>
          <w:lang w:val="pl-PL"/>
        </w:rPr>
        <w:t>Uważam, że przecinek po słowie: „od” jest dobrze postanowiony.</w:t>
      </w:r>
    </w:p>
    <w:p w:rsidR="00675E97" w:rsidRDefault="00675E97" w:rsidP="00675E97">
      <w:pPr>
        <w:pStyle w:val="Akapitzlist"/>
        <w:numPr>
          <w:ilvl w:val="0"/>
          <w:numId w:val="6"/>
        </w:numPr>
        <w:rPr>
          <w:lang w:val="pl-PL"/>
        </w:rPr>
      </w:pPr>
      <w:r>
        <w:rPr>
          <w:lang w:val="pl-PL"/>
        </w:rPr>
        <w:t>Brak przytoczenia przepisu art. 107 § 3 k.p.a. – nie było koniczne w zadaniu – źle.</w:t>
      </w:r>
    </w:p>
    <w:p w:rsidR="00675E97" w:rsidRDefault="002F4F7C" w:rsidP="00675E97">
      <w:pPr>
        <w:pStyle w:val="Akapitzlist"/>
        <w:numPr>
          <w:ilvl w:val="0"/>
          <w:numId w:val="6"/>
        </w:numPr>
        <w:rPr>
          <w:lang w:val="pl-PL"/>
        </w:rPr>
      </w:pPr>
      <w:r>
        <w:rPr>
          <w:lang w:val="pl-PL"/>
        </w:rPr>
        <w:t>Upływ terminu do wniesienia odwołania – dobrze.</w:t>
      </w:r>
    </w:p>
    <w:p w:rsidR="002F4F7C" w:rsidRDefault="002F4F7C" w:rsidP="008E6C84">
      <w:pPr>
        <w:pStyle w:val="Akapitzlist"/>
        <w:numPr>
          <w:ilvl w:val="0"/>
          <w:numId w:val="6"/>
        </w:numPr>
        <w:rPr>
          <w:lang w:val="pl-PL"/>
        </w:rPr>
      </w:pPr>
      <w:r w:rsidRPr="002F4F7C">
        <w:rPr>
          <w:lang w:val="pl-PL"/>
        </w:rPr>
        <w:lastRenderedPageBreak/>
        <w:t xml:space="preserve">Postanowienie a nie decyzja. Odwołanie od decyzji 14 dni – zasadniczo tak, ale </w:t>
      </w:r>
      <w:r w:rsidRPr="002F4F7C">
        <w:rPr>
          <w:lang w:val="pl-PL"/>
        </w:rPr>
        <w:t>postanowienie z art. 134 k.p.a. jest ostateczne. Służy na nie skarga do sądu administracyjnego</w:t>
      </w:r>
      <w:r w:rsidRPr="002F4F7C">
        <w:rPr>
          <w:lang w:val="pl-PL"/>
        </w:rPr>
        <w:t xml:space="preserve"> w terminie 30 dni. </w:t>
      </w:r>
    </w:p>
    <w:p w:rsidR="002F4F7C" w:rsidRDefault="002F4F7C" w:rsidP="008E6C84">
      <w:pPr>
        <w:pStyle w:val="Akapitzlist"/>
        <w:numPr>
          <w:ilvl w:val="0"/>
          <w:numId w:val="6"/>
        </w:numPr>
        <w:rPr>
          <w:lang w:val="pl-PL"/>
        </w:rPr>
      </w:pPr>
      <w:r>
        <w:rPr>
          <w:lang w:val="pl-PL"/>
        </w:rPr>
        <w:t xml:space="preserve">Adresat na początku przy rozdzielniku egzemplarzy. Błąd źle odnaleziony. Rozdzielnik decyzji (na końcu) mówi, komu doręczyć pismo. Oznaczenie strony jest na początku. </w:t>
      </w:r>
    </w:p>
    <w:p w:rsidR="002F4F7C" w:rsidRDefault="002F4F7C" w:rsidP="002F4F7C">
      <w:pPr>
        <w:rPr>
          <w:lang w:val="pl-PL"/>
        </w:rPr>
      </w:pPr>
      <w:r>
        <w:rPr>
          <w:lang w:val="pl-PL"/>
        </w:rPr>
        <w:t>Grupa: 294512, 265480, 246897</w:t>
      </w:r>
    </w:p>
    <w:p w:rsidR="002F4F7C" w:rsidRDefault="002F4F7C" w:rsidP="0091037E">
      <w:pPr>
        <w:pStyle w:val="Akapitzlist"/>
        <w:numPr>
          <w:ilvl w:val="0"/>
          <w:numId w:val="7"/>
        </w:numPr>
        <w:rPr>
          <w:lang w:val="pl-PL"/>
        </w:rPr>
      </w:pPr>
      <w:r w:rsidRPr="002F4F7C">
        <w:rPr>
          <w:lang w:val="pl-PL"/>
        </w:rPr>
        <w:t>2016 a nie 20016 – dobrze, pełna odpowiedź</w:t>
      </w:r>
    </w:p>
    <w:p w:rsidR="002F4F7C" w:rsidRPr="002F4F7C" w:rsidRDefault="002F4F7C" w:rsidP="0091037E">
      <w:pPr>
        <w:pStyle w:val="Akapitzlist"/>
        <w:numPr>
          <w:ilvl w:val="0"/>
          <w:numId w:val="7"/>
        </w:numPr>
        <w:rPr>
          <w:lang w:val="pl-PL"/>
        </w:rPr>
      </w:pPr>
      <w:r w:rsidRPr="002F4F7C">
        <w:rPr>
          <w:lang w:val="pl-PL"/>
        </w:rPr>
        <w:t>Postanowienie a nie decyzja</w:t>
      </w:r>
      <w:r w:rsidRPr="002F4F7C">
        <w:rPr>
          <w:lang w:val="pl-PL"/>
        </w:rPr>
        <w:t xml:space="preserve"> – dobrze</w:t>
      </w:r>
    </w:p>
    <w:p w:rsidR="002F4F7C" w:rsidRDefault="002F4F7C" w:rsidP="002F4F7C">
      <w:pPr>
        <w:pStyle w:val="Akapitzlist"/>
        <w:numPr>
          <w:ilvl w:val="0"/>
          <w:numId w:val="7"/>
        </w:numPr>
        <w:rPr>
          <w:lang w:val="pl-PL"/>
        </w:rPr>
      </w:pPr>
      <w:r>
        <w:rPr>
          <w:lang w:val="pl-PL"/>
        </w:rPr>
        <w:t>B</w:t>
      </w:r>
      <w:r>
        <w:rPr>
          <w:lang w:val="pl-PL"/>
        </w:rPr>
        <w:t>rak oznaczenia strony – strona to „Niezadowolona Strona”</w:t>
      </w:r>
    </w:p>
    <w:p w:rsidR="002F4F7C" w:rsidRDefault="002F4F7C" w:rsidP="002F4F7C">
      <w:pPr>
        <w:pStyle w:val="Akapitzlist"/>
        <w:numPr>
          <w:ilvl w:val="0"/>
          <w:numId w:val="7"/>
        </w:numPr>
        <w:rPr>
          <w:lang w:val="pl-PL"/>
        </w:rPr>
      </w:pPr>
      <w:r>
        <w:rPr>
          <w:lang w:val="pl-PL"/>
        </w:rPr>
        <w:t>Cała nazwa ustawy – błąd znaleziony</w:t>
      </w:r>
    </w:p>
    <w:p w:rsidR="002F4F7C" w:rsidRDefault="002F4F7C" w:rsidP="002F4F7C">
      <w:pPr>
        <w:pStyle w:val="Akapitzlist"/>
        <w:numPr>
          <w:ilvl w:val="0"/>
          <w:numId w:val="7"/>
        </w:numPr>
        <w:rPr>
          <w:lang w:val="pl-PL"/>
        </w:rPr>
      </w:pPr>
      <w:r>
        <w:rPr>
          <w:lang w:val="pl-PL"/>
        </w:rPr>
        <w:t>Przywołanie artykułu nie musi być cytatem. Organ napisał, jak to rozumieć, ale jakby zacytował przepis to nie byłoby to błędem.</w:t>
      </w:r>
    </w:p>
    <w:p w:rsidR="002F4F7C" w:rsidRDefault="002F4F7C" w:rsidP="002F4F7C">
      <w:pPr>
        <w:pStyle w:val="Akapitzlist"/>
        <w:numPr>
          <w:ilvl w:val="0"/>
          <w:numId w:val="7"/>
        </w:numPr>
        <w:rPr>
          <w:lang w:val="pl-PL"/>
        </w:rPr>
      </w:pPr>
      <w:r>
        <w:rPr>
          <w:lang w:val="pl-PL"/>
        </w:rPr>
        <w:t>Obliczanie terminów – błąd zlokalizowany.</w:t>
      </w:r>
    </w:p>
    <w:p w:rsidR="002F4F7C" w:rsidRDefault="002F4F7C" w:rsidP="002F4F7C">
      <w:pPr>
        <w:pStyle w:val="Akapitzlist"/>
        <w:numPr>
          <w:ilvl w:val="0"/>
          <w:numId w:val="7"/>
        </w:numPr>
        <w:rPr>
          <w:lang w:val="pl-PL"/>
        </w:rPr>
      </w:pPr>
      <w:r>
        <w:rPr>
          <w:lang w:val="pl-PL"/>
        </w:rPr>
        <w:t>Postanowienie jest ostateczne (art. 134 k.p.a.) – błąd zlokalizowany.</w:t>
      </w:r>
    </w:p>
    <w:p w:rsidR="002F4F7C" w:rsidRDefault="002F4F7C" w:rsidP="002F4F7C">
      <w:pPr>
        <w:pStyle w:val="Akapitzlist"/>
        <w:numPr>
          <w:ilvl w:val="0"/>
          <w:numId w:val="7"/>
        </w:numPr>
        <w:rPr>
          <w:lang w:val="pl-PL"/>
        </w:rPr>
      </w:pPr>
      <w:r>
        <w:rPr>
          <w:lang w:val="pl-PL"/>
        </w:rPr>
        <w:t>Do WSA a nie do NSA – błąd zlokalizowany</w:t>
      </w:r>
    </w:p>
    <w:p w:rsidR="002F4F7C" w:rsidRDefault="002F4F7C" w:rsidP="002F4F7C">
      <w:pPr>
        <w:pStyle w:val="Akapitzlist"/>
        <w:numPr>
          <w:ilvl w:val="0"/>
          <w:numId w:val="7"/>
        </w:numPr>
        <w:rPr>
          <w:lang w:val="pl-PL"/>
        </w:rPr>
      </w:pPr>
      <w:r>
        <w:rPr>
          <w:lang w:val="pl-PL"/>
        </w:rPr>
        <w:t>Za pośrednictwem SKO  a nie za pośrednictwem prezydenta Miasta – błąd zlokalizowany.</w:t>
      </w:r>
    </w:p>
    <w:p w:rsidR="00C264D4" w:rsidRPr="00C264D4" w:rsidRDefault="00C264D4" w:rsidP="00C264D4">
      <w:pPr>
        <w:pStyle w:val="Akapitzlist"/>
        <w:numPr>
          <w:ilvl w:val="0"/>
          <w:numId w:val="7"/>
        </w:numPr>
        <w:rPr>
          <w:lang w:val="pl-PL"/>
        </w:rPr>
      </w:pPr>
      <w:r>
        <w:rPr>
          <w:lang w:val="pl-PL"/>
        </w:rPr>
        <w:t>Brak podpisów organu – dobrze</w:t>
      </w:r>
      <w:bookmarkStart w:id="0" w:name="_GoBack"/>
      <w:bookmarkEnd w:id="0"/>
    </w:p>
    <w:sectPr w:rsidR="00C264D4" w:rsidRPr="00C2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995"/>
    <w:multiLevelType w:val="hybridMultilevel"/>
    <w:tmpl w:val="A3AA4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0428"/>
    <w:multiLevelType w:val="hybridMultilevel"/>
    <w:tmpl w:val="5B343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B3094"/>
    <w:multiLevelType w:val="hybridMultilevel"/>
    <w:tmpl w:val="A3AA4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22289"/>
    <w:multiLevelType w:val="hybridMultilevel"/>
    <w:tmpl w:val="A3AA4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E5978"/>
    <w:multiLevelType w:val="hybridMultilevel"/>
    <w:tmpl w:val="4E406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D6E8A"/>
    <w:multiLevelType w:val="hybridMultilevel"/>
    <w:tmpl w:val="E6DC2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23432"/>
    <w:multiLevelType w:val="hybridMultilevel"/>
    <w:tmpl w:val="3ED27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959D8"/>
    <w:multiLevelType w:val="hybridMultilevel"/>
    <w:tmpl w:val="DC4C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3"/>
    <w:rsid w:val="0003238C"/>
    <w:rsid w:val="00046B8F"/>
    <w:rsid w:val="001465AC"/>
    <w:rsid w:val="00220F01"/>
    <w:rsid w:val="002F4F7C"/>
    <w:rsid w:val="00675E97"/>
    <w:rsid w:val="00A47DD1"/>
    <w:rsid w:val="00AC73C8"/>
    <w:rsid w:val="00C264D4"/>
    <w:rsid w:val="00D329FE"/>
    <w:rsid w:val="00E06693"/>
    <w:rsid w:val="00E11677"/>
    <w:rsid w:val="00F9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F79B"/>
  <w15:chartTrackingRefBased/>
  <w15:docId w15:val="{13501086-66BB-40C7-8584-091066A6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6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6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wo.uni.wroc.pl/sites/default/files/students-resources/Post%C4%99powanie%20s%C4%85dowoadministracyjne%20-%20zaj%C4%99cia%20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Majczak</dc:creator>
  <cp:keywords/>
  <dc:description/>
  <cp:lastModifiedBy>Paweł Majczak</cp:lastModifiedBy>
  <cp:revision>1</cp:revision>
  <dcterms:created xsi:type="dcterms:W3CDTF">2016-11-18T13:33:00Z</dcterms:created>
  <dcterms:modified xsi:type="dcterms:W3CDTF">2016-11-18T14:48:00Z</dcterms:modified>
</cp:coreProperties>
</file>