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F2E" w:rsidRDefault="00C23F2E" w:rsidP="00C23F2E">
      <w:pPr>
        <w:spacing w:line="276" w:lineRule="auto"/>
        <w:jc w:val="center"/>
        <w:rPr>
          <w:rFonts w:ascii="Arial" w:hAnsi="Arial" w:cs="Arial"/>
          <w:b/>
          <w:sz w:val="22"/>
        </w:rPr>
      </w:pPr>
      <w:r>
        <w:rPr>
          <w:rFonts w:ascii="Arial" w:hAnsi="Arial" w:cs="Arial"/>
          <w:b/>
          <w:sz w:val="22"/>
        </w:rPr>
        <w:t>Dowody i środki przymusu</w:t>
      </w:r>
    </w:p>
    <w:p w:rsidR="00C23F2E" w:rsidRDefault="00C23F2E" w:rsidP="00C23F2E">
      <w:pPr>
        <w:spacing w:line="276" w:lineRule="auto"/>
        <w:jc w:val="center"/>
        <w:rPr>
          <w:rFonts w:ascii="Arial" w:hAnsi="Arial" w:cs="Arial"/>
          <w:b/>
          <w:sz w:val="22"/>
        </w:rPr>
      </w:pPr>
    </w:p>
    <w:p w:rsidR="00C23F2E" w:rsidRDefault="00C23F2E" w:rsidP="00C23F2E">
      <w:pPr>
        <w:spacing w:line="276" w:lineRule="auto"/>
        <w:jc w:val="center"/>
        <w:rPr>
          <w:rFonts w:ascii="Arial" w:hAnsi="Arial" w:cs="Arial"/>
          <w:sz w:val="22"/>
        </w:rPr>
      </w:pPr>
      <w:r>
        <w:rPr>
          <w:rFonts w:ascii="Arial" w:hAnsi="Arial" w:cs="Arial"/>
          <w:sz w:val="22"/>
        </w:rPr>
        <w:t>………………………………………………………………………………………………………………………………</w:t>
      </w:r>
    </w:p>
    <w:p w:rsidR="00C23F2E" w:rsidRPr="00C23F2E" w:rsidRDefault="00C23F2E" w:rsidP="00C23F2E">
      <w:pPr>
        <w:spacing w:line="276" w:lineRule="auto"/>
        <w:jc w:val="center"/>
        <w:rPr>
          <w:rFonts w:ascii="Arial" w:hAnsi="Arial" w:cs="Arial"/>
          <w:b/>
          <w:sz w:val="18"/>
        </w:rPr>
      </w:pPr>
      <w:r w:rsidRPr="00C23F2E">
        <w:rPr>
          <w:rFonts w:ascii="Arial" w:hAnsi="Arial" w:cs="Arial"/>
          <w:sz w:val="18"/>
        </w:rPr>
        <w:t>(imię, nazwisko, nr indeku, data)</w:t>
      </w:r>
    </w:p>
    <w:p w:rsidR="00C23F2E" w:rsidRDefault="00C23F2E" w:rsidP="00C23F2E">
      <w:pPr>
        <w:pStyle w:val="Akapitzlist"/>
        <w:spacing w:line="276" w:lineRule="auto"/>
        <w:ind w:left="360"/>
        <w:jc w:val="both"/>
        <w:rPr>
          <w:rFonts w:ascii="Arial" w:hAnsi="Arial" w:cs="Arial"/>
          <w:b/>
          <w:sz w:val="22"/>
        </w:rPr>
      </w:pPr>
    </w:p>
    <w:p w:rsidR="007C71E9" w:rsidRPr="009846CD" w:rsidRDefault="00A22B03" w:rsidP="009846CD">
      <w:pPr>
        <w:pStyle w:val="Akapitzlist"/>
        <w:numPr>
          <w:ilvl w:val="0"/>
          <w:numId w:val="1"/>
        </w:numPr>
        <w:spacing w:line="276" w:lineRule="auto"/>
        <w:jc w:val="both"/>
        <w:rPr>
          <w:rFonts w:ascii="Arial" w:hAnsi="Arial" w:cs="Arial"/>
          <w:b/>
          <w:sz w:val="22"/>
        </w:rPr>
      </w:pPr>
      <w:r w:rsidRPr="009846CD">
        <w:rPr>
          <w:rFonts w:ascii="Arial" w:hAnsi="Arial" w:cs="Arial"/>
          <w:b/>
          <w:sz w:val="22"/>
        </w:rPr>
        <w:t>Środek dowodowy to:</w:t>
      </w:r>
    </w:p>
    <w:p w:rsidR="00A22B03" w:rsidRPr="009846CD" w:rsidRDefault="00A22B03" w:rsidP="009846CD">
      <w:pPr>
        <w:pStyle w:val="Akapitzlist"/>
        <w:numPr>
          <w:ilvl w:val="1"/>
          <w:numId w:val="1"/>
        </w:numPr>
        <w:spacing w:line="276" w:lineRule="auto"/>
        <w:jc w:val="both"/>
        <w:rPr>
          <w:rFonts w:ascii="Arial" w:hAnsi="Arial" w:cs="Arial"/>
          <w:sz w:val="22"/>
        </w:rPr>
      </w:pPr>
      <w:r w:rsidRPr="009846CD">
        <w:rPr>
          <w:rFonts w:ascii="Arial" w:hAnsi="Arial" w:cs="Arial"/>
          <w:sz w:val="22"/>
        </w:rPr>
        <w:t>osoba lub rzecz, od której pochodzą informacje o okoliczno</w:t>
      </w:r>
      <w:r w:rsidR="009846CD" w:rsidRPr="009846CD">
        <w:rPr>
          <w:rFonts w:ascii="Arial" w:hAnsi="Arial" w:cs="Arial"/>
          <w:sz w:val="22"/>
        </w:rPr>
        <w:t>ściach popełnienia przestępstwa;</w:t>
      </w:r>
    </w:p>
    <w:p w:rsidR="00A22B03" w:rsidRPr="00E75D76" w:rsidRDefault="00A22B03" w:rsidP="009846CD">
      <w:pPr>
        <w:pStyle w:val="Akapitzlist"/>
        <w:numPr>
          <w:ilvl w:val="1"/>
          <w:numId w:val="1"/>
        </w:numPr>
        <w:spacing w:line="276" w:lineRule="auto"/>
        <w:jc w:val="both"/>
        <w:rPr>
          <w:rFonts w:ascii="Arial" w:hAnsi="Arial" w:cs="Arial"/>
          <w:b/>
          <w:color w:val="FF0000"/>
          <w:sz w:val="22"/>
        </w:rPr>
      </w:pPr>
      <w:r w:rsidRPr="00E75D76">
        <w:rPr>
          <w:rFonts w:ascii="Arial" w:hAnsi="Arial" w:cs="Arial"/>
          <w:b/>
          <w:color w:val="FF0000"/>
          <w:sz w:val="22"/>
        </w:rPr>
        <w:t>informacje (lub właściwości) uzyskane od osoby (lub właściwości rzeczy) istotne dla rozstrzygnięcia sprawy</w:t>
      </w:r>
      <w:r w:rsidR="009846CD" w:rsidRPr="00E75D76">
        <w:rPr>
          <w:rFonts w:ascii="Arial" w:hAnsi="Arial" w:cs="Arial"/>
          <w:b/>
          <w:color w:val="FF0000"/>
          <w:sz w:val="22"/>
        </w:rPr>
        <w:t>;</w:t>
      </w:r>
    </w:p>
    <w:p w:rsidR="00A22B03" w:rsidRPr="009846CD" w:rsidRDefault="00A22B03" w:rsidP="009846CD">
      <w:pPr>
        <w:pStyle w:val="Akapitzlist"/>
        <w:numPr>
          <w:ilvl w:val="1"/>
          <w:numId w:val="1"/>
        </w:numPr>
        <w:spacing w:line="276" w:lineRule="auto"/>
        <w:jc w:val="both"/>
        <w:rPr>
          <w:rFonts w:ascii="Arial" w:hAnsi="Arial" w:cs="Arial"/>
          <w:sz w:val="22"/>
        </w:rPr>
      </w:pPr>
      <w:r w:rsidRPr="009846CD">
        <w:rPr>
          <w:rFonts w:ascii="Arial" w:hAnsi="Arial" w:cs="Arial"/>
          <w:sz w:val="22"/>
        </w:rPr>
        <w:t xml:space="preserve">przeprowadzenie dowodu w sposób określony w k.p.k. </w:t>
      </w:r>
    </w:p>
    <w:p w:rsidR="00A22B03" w:rsidRPr="009846CD" w:rsidRDefault="00A22B03" w:rsidP="009846CD">
      <w:pPr>
        <w:pStyle w:val="Akapitzlist"/>
        <w:numPr>
          <w:ilvl w:val="0"/>
          <w:numId w:val="1"/>
        </w:numPr>
        <w:spacing w:line="276" w:lineRule="auto"/>
        <w:jc w:val="both"/>
        <w:rPr>
          <w:rFonts w:ascii="Arial" w:hAnsi="Arial" w:cs="Arial"/>
          <w:b/>
          <w:sz w:val="22"/>
        </w:rPr>
      </w:pPr>
      <w:r w:rsidRPr="009846CD">
        <w:rPr>
          <w:rFonts w:ascii="Arial" w:hAnsi="Arial" w:cs="Arial"/>
          <w:b/>
          <w:sz w:val="22"/>
        </w:rPr>
        <w:t xml:space="preserve">Inicjatywa dowodowa w procesie karnym </w:t>
      </w:r>
      <w:r w:rsidRPr="009846CD">
        <w:rPr>
          <w:rFonts w:ascii="Arial" w:hAnsi="Arial" w:cs="Arial"/>
          <w:b/>
          <w:sz w:val="22"/>
          <w:u w:val="single"/>
        </w:rPr>
        <w:t>nie</w:t>
      </w:r>
      <w:r w:rsidR="009846CD" w:rsidRPr="009846CD">
        <w:rPr>
          <w:rFonts w:ascii="Arial" w:hAnsi="Arial" w:cs="Arial"/>
          <w:b/>
          <w:sz w:val="22"/>
        </w:rPr>
        <w:t xml:space="preserve"> przysługuje:</w:t>
      </w:r>
    </w:p>
    <w:p w:rsidR="00A22B03" w:rsidRPr="00E75D76" w:rsidRDefault="00A22B03" w:rsidP="009846CD">
      <w:pPr>
        <w:pStyle w:val="Akapitzlist"/>
        <w:numPr>
          <w:ilvl w:val="1"/>
          <w:numId w:val="1"/>
        </w:numPr>
        <w:spacing w:line="276" w:lineRule="auto"/>
        <w:jc w:val="both"/>
        <w:rPr>
          <w:rFonts w:ascii="Arial" w:hAnsi="Arial" w:cs="Arial"/>
          <w:b/>
          <w:color w:val="FF0000"/>
          <w:sz w:val="22"/>
        </w:rPr>
      </w:pPr>
      <w:r w:rsidRPr="00E75D76">
        <w:rPr>
          <w:rFonts w:ascii="Arial" w:hAnsi="Arial" w:cs="Arial"/>
          <w:b/>
          <w:color w:val="FF0000"/>
          <w:sz w:val="22"/>
        </w:rPr>
        <w:t>osobie podejrzanej</w:t>
      </w:r>
      <w:r w:rsidR="009846CD" w:rsidRPr="00E75D76">
        <w:rPr>
          <w:rFonts w:ascii="Arial" w:hAnsi="Arial" w:cs="Arial"/>
          <w:b/>
          <w:color w:val="FF0000"/>
          <w:sz w:val="22"/>
        </w:rPr>
        <w:t>;</w:t>
      </w:r>
      <w:r w:rsidR="00E75D76">
        <w:rPr>
          <w:rFonts w:ascii="Arial" w:hAnsi="Arial" w:cs="Arial"/>
          <w:b/>
          <w:color w:val="FF0000"/>
          <w:sz w:val="22"/>
        </w:rPr>
        <w:t xml:space="preserve"> </w:t>
      </w:r>
    </w:p>
    <w:p w:rsidR="00A22B03" w:rsidRPr="009846CD" w:rsidRDefault="009846CD" w:rsidP="009846CD">
      <w:pPr>
        <w:pStyle w:val="Akapitzlist"/>
        <w:numPr>
          <w:ilvl w:val="1"/>
          <w:numId w:val="1"/>
        </w:numPr>
        <w:spacing w:line="276" w:lineRule="auto"/>
        <w:jc w:val="both"/>
        <w:rPr>
          <w:rFonts w:ascii="Arial" w:hAnsi="Arial" w:cs="Arial"/>
          <w:sz w:val="22"/>
        </w:rPr>
      </w:pPr>
      <w:r w:rsidRPr="009846CD">
        <w:rPr>
          <w:rFonts w:ascii="Arial" w:hAnsi="Arial" w:cs="Arial"/>
          <w:sz w:val="22"/>
        </w:rPr>
        <w:t>biegłym;</w:t>
      </w:r>
      <w:r w:rsidR="00E75D76">
        <w:rPr>
          <w:rFonts w:ascii="Arial" w:hAnsi="Arial" w:cs="Arial"/>
          <w:sz w:val="22"/>
        </w:rPr>
        <w:t xml:space="preserve"> </w:t>
      </w:r>
    </w:p>
    <w:p w:rsidR="00A22B03" w:rsidRPr="009846CD" w:rsidRDefault="00A22B03" w:rsidP="009846CD">
      <w:pPr>
        <w:pStyle w:val="Akapitzlist"/>
        <w:numPr>
          <w:ilvl w:val="1"/>
          <w:numId w:val="1"/>
        </w:numPr>
        <w:spacing w:line="276" w:lineRule="auto"/>
        <w:jc w:val="both"/>
        <w:rPr>
          <w:rFonts w:ascii="Arial" w:hAnsi="Arial" w:cs="Arial"/>
          <w:sz w:val="22"/>
        </w:rPr>
      </w:pPr>
      <w:r w:rsidRPr="009846CD">
        <w:rPr>
          <w:rFonts w:ascii="Arial" w:hAnsi="Arial" w:cs="Arial"/>
          <w:sz w:val="22"/>
        </w:rPr>
        <w:t>są</w:t>
      </w:r>
      <w:r w:rsidR="009846CD" w:rsidRPr="009846CD">
        <w:rPr>
          <w:rFonts w:ascii="Arial" w:hAnsi="Arial" w:cs="Arial"/>
          <w:sz w:val="22"/>
        </w:rPr>
        <w:t>dowi.</w:t>
      </w:r>
    </w:p>
    <w:p w:rsidR="009846CD" w:rsidRPr="009846CD" w:rsidRDefault="009846CD" w:rsidP="009846CD">
      <w:pPr>
        <w:pStyle w:val="Akapitzlist"/>
        <w:numPr>
          <w:ilvl w:val="0"/>
          <w:numId w:val="1"/>
        </w:numPr>
        <w:spacing w:line="276" w:lineRule="auto"/>
        <w:jc w:val="both"/>
        <w:rPr>
          <w:rFonts w:ascii="Arial" w:hAnsi="Arial" w:cs="Arial"/>
          <w:b/>
          <w:sz w:val="22"/>
        </w:rPr>
      </w:pPr>
      <w:r w:rsidRPr="009846CD">
        <w:rPr>
          <w:rFonts w:ascii="Arial" w:hAnsi="Arial" w:cs="Arial"/>
          <w:b/>
          <w:sz w:val="22"/>
        </w:rPr>
        <w:t>W wypadkach niecierpiących zwłoki policja może:</w:t>
      </w:r>
    </w:p>
    <w:p w:rsidR="00A22B03" w:rsidRPr="009846CD" w:rsidRDefault="009846CD" w:rsidP="009846CD">
      <w:pPr>
        <w:pStyle w:val="Akapitzlist"/>
        <w:numPr>
          <w:ilvl w:val="1"/>
          <w:numId w:val="1"/>
        </w:numPr>
        <w:spacing w:line="276" w:lineRule="auto"/>
        <w:jc w:val="both"/>
        <w:rPr>
          <w:rFonts w:ascii="Arial" w:hAnsi="Arial" w:cs="Arial"/>
          <w:sz w:val="22"/>
        </w:rPr>
      </w:pPr>
      <w:r w:rsidRPr="009846CD">
        <w:rPr>
          <w:rFonts w:ascii="Arial" w:hAnsi="Arial" w:cs="Arial"/>
          <w:sz w:val="22"/>
        </w:rPr>
        <w:t>dokonać przeszukania</w:t>
      </w:r>
      <w:r w:rsidR="00A22B03" w:rsidRPr="009846CD">
        <w:rPr>
          <w:rFonts w:ascii="Arial" w:hAnsi="Arial" w:cs="Arial"/>
          <w:sz w:val="22"/>
        </w:rPr>
        <w:t xml:space="preserve"> </w:t>
      </w:r>
      <w:r w:rsidRPr="009846CD">
        <w:rPr>
          <w:rFonts w:ascii="Arial" w:hAnsi="Arial" w:cs="Arial"/>
          <w:sz w:val="22"/>
        </w:rPr>
        <w:t xml:space="preserve">po okazaniu legitymacji i nakazu kierownika jednostki oraz uprzednim poinformowaniu sądu lub prokuratora; </w:t>
      </w:r>
    </w:p>
    <w:p w:rsidR="009846CD" w:rsidRPr="009846CD" w:rsidRDefault="009846CD" w:rsidP="009846CD">
      <w:pPr>
        <w:pStyle w:val="Akapitzlist"/>
        <w:numPr>
          <w:ilvl w:val="1"/>
          <w:numId w:val="1"/>
        </w:numPr>
        <w:spacing w:line="276" w:lineRule="auto"/>
        <w:jc w:val="both"/>
        <w:rPr>
          <w:rFonts w:ascii="Arial" w:hAnsi="Arial" w:cs="Arial"/>
          <w:sz w:val="22"/>
        </w:rPr>
      </w:pPr>
      <w:r w:rsidRPr="009846CD">
        <w:rPr>
          <w:rFonts w:ascii="Arial" w:hAnsi="Arial" w:cs="Arial"/>
          <w:sz w:val="22"/>
        </w:rPr>
        <w:t>dokonać przeszukania po okazaniu legitymacji i nakazu kierownika jednostki bez konieczności uprzedniego poinformowania sądu lub prokuratora; dla legalności czynności nie jest konieczne jej zatwierdzenie przez organ prowadzący postępowanie;</w:t>
      </w:r>
    </w:p>
    <w:p w:rsidR="009846CD" w:rsidRPr="00E75D76" w:rsidRDefault="009846CD" w:rsidP="009846CD">
      <w:pPr>
        <w:pStyle w:val="Akapitzlist"/>
        <w:numPr>
          <w:ilvl w:val="1"/>
          <w:numId w:val="1"/>
        </w:numPr>
        <w:spacing w:line="276" w:lineRule="auto"/>
        <w:jc w:val="both"/>
        <w:rPr>
          <w:rFonts w:ascii="Arial" w:hAnsi="Arial" w:cs="Arial"/>
          <w:b/>
          <w:color w:val="FF0000"/>
          <w:sz w:val="22"/>
        </w:rPr>
      </w:pPr>
      <w:r w:rsidRPr="00E75D76">
        <w:rPr>
          <w:rFonts w:ascii="Arial" w:hAnsi="Arial" w:cs="Arial"/>
          <w:b/>
          <w:color w:val="FF0000"/>
          <w:sz w:val="22"/>
        </w:rPr>
        <w:t>dokonać przeszukania po okazaniu legitymacji i nakazu kierownika jednostki, ale warunkiem legalności czynności konieczne jest zatwierdzenie przeszukania przez sąd lub prokuratora.</w:t>
      </w:r>
    </w:p>
    <w:p w:rsidR="009846CD" w:rsidRPr="009846CD" w:rsidRDefault="009846CD" w:rsidP="009846CD">
      <w:pPr>
        <w:pStyle w:val="Akapitzlist"/>
        <w:numPr>
          <w:ilvl w:val="0"/>
          <w:numId w:val="1"/>
        </w:numPr>
        <w:spacing w:line="276" w:lineRule="auto"/>
        <w:jc w:val="both"/>
        <w:rPr>
          <w:rFonts w:ascii="Arial" w:hAnsi="Arial" w:cs="Arial"/>
          <w:b/>
          <w:sz w:val="22"/>
        </w:rPr>
      </w:pPr>
      <w:r w:rsidRPr="009846CD">
        <w:rPr>
          <w:rFonts w:ascii="Arial" w:hAnsi="Arial" w:cs="Arial"/>
          <w:b/>
          <w:sz w:val="22"/>
        </w:rPr>
        <w:t xml:space="preserve"> Zwolnienie adwokata z tajemnicy adwokackiej w postępowaniu przygotowawczym:</w:t>
      </w:r>
    </w:p>
    <w:p w:rsidR="009846CD" w:rsidRDefault="009846CD" w:rsidP="009846CD">
      <w:pPr>
        <w:pStyle w:val="Akapitzlist"/>
        <w:numPr>
          <w:ilvl w:val="1"/>
          <w:numId w:val="1"/>
        </w:numPr>
        <w:spacing w:line="276" w:lineRule="auto"/>
        <w:jc w:val="both"/>
        <w:rPr>
          <w:rFonts w:ascii="Arial" w:hAnsi="Arial" w:cs="Arial"/>
          <w:sz w:val="22"/>
        </w:rPr>
      </w:pPr>
      <w:r>
        <w:rPr>
          <w:rFonts w:ascii="Arial" w:hAnsi="Arial" w:cs="Arial"/>
          <w:sz w:val="22"/>
        </w:rPr>
        <w:t>jest niedopuszczalne; tajemnica adwokacka to bezwzględny zakaz dowodowy</w:t>
      </w:r>
    </w:p>
    <w:p w:rsidR="009846CD" w:rsidRDefault="009846CD" w:rsidP="009846CD">
      <w:pPr>
        <w:pStyle w:val="Akapitzlist"/>
        <w:numPr>
          <w:ilvl w:val="1"/>
          <w:numId w:val="1"/>
        </w:numPr>
        <w:spacing w:line="276" w:lineRule="auto"/>
        <w:jc w:val="both"/>
        <w:rPr>
          <w:rFonts w:ascii="Arial" w:hAnsi="Arial" w:cs="Arial"/>
          <w:sz w:val="22"/>
        </w:rPr>
      </w:pPr>
      <w:r>
        <w:rPr>
          <w:rFonts w:ascii="Arial" w:hAnsi="Arial" w:cs="Arial"/>
          <w:sz w:val="22"/>
        </w:rPr>
        <w:t>następuje na mocy postanowienia organu prowadzącego postępowanie (prokuratora); na postanowienie przysługuje zażalenie do sądu właściwego do rozpoznania sprawy;</w:t>
      </w:r>
    </w:p>
    <w:p w:rsidR="009846CD" w:rsidRPr="00E75D76" w:rsidRDefault="009846CD" w:rsidP="009846CD">
      <w:pPr>
        <w:pStyle w:val="Akapitzlist"/>
        <w:numPr>
          <w:ilvl w:val="1"/>
          <w:numId w:val="1"/>
        </w:numPr>
        <w:spacing w:line="276" w:lineRule="auto"/>
        <w:jc w:val="both"/>
        <w:rPr>
          <w:rFonts w:ascii="Arial" w:hAnsi="Arial" w:cs="Arial"/>
          <w:b/>
          <w:color w:val="FF0000"/>
          <w:sz w:val="22"/>
        </w:rPr>
      </w:pPr>
      <w:r w:rsidRPr="00E75D76">
        <w:rPr>
          <w:rFonts w:ascii="Arial" w:hAnsi="Arial" w:cs="Arial"/>
          <w:b/>
          <w:color w:val="FF0000"/>
          <w:sz w:val="22"/>
        </w:rPr>
        <w:t xml:space="preserve">następuje na wniosek prokuratora złożony do sądu właściwego do rozpoznania sprawy; na postanowienie sądu przysługuje zażalenie do sądu wyższej instancji. </w:t>
      </w:r>
    </w:p>
    <w:p w:rsidR="009846CD" w:rsidRPr="003414A2" w:rsidRDefault="009846CD" w:rsidP="009846CD">
      <w:pPr>
        <w:pStyle w:val="Akapitzlist"/>
        <w:numPr>
          <w:ilvl w:val="0"/>
          <w:numId w:val="1"/>
        </w:numPr>
        <w:spacing w:line="276" w:lineRule="auto"/>
        <w:jc w:val="both"/>
        <w:rPr>
          <w:rFonts w:ascii="Arial" w:hAnsi="Arial" w:cs="Arial"/>
          <w:b/>
          <w:sz w:val="22"/>
        </w:rPr>
      </w:pPr>
      <w:r w:rsidRPr="003414A2">
        <w:rPr>
          <w:rFonts w:ascii="Arial" w:hAnsi="Arial" w:cs="Arial"/>
          <w:b/>
          <w:sz w:val="22"/>
        </w:rPr>
        <w:t>Świadek może odmówić odpowiedzi na pytanie, jeżeli:</w:t>
      </w:r>
    </w:p>
    <w:p w:rsidR="009846CD" w:rsidRDefault="009846CD" w:rsidP="009846CD">
      <w:pPr>
        <w:pStyle w:val="Akapitzlist"/>
        <w:numPr>
          <w:ilvl w:val="1"/>
          <w:numId w:val="1"/>
        </w:numPr>
        <w:spacing w:line="276" w:lineRule="auto"/>
        <w:jc w:val="both"/>
        <w:rPr>
          <w:rFonts w:ascii="Arial" w:hAnsi="Arial" w:cs="Arial"/>
          <w:sz w:val="22"/>
        </w:rPr>
      </w:pPr>
      <w:r>
        <w:rPr>
          <w:rFonts w:ascii="Arial" w:hAnsi="Arial" w:cs="Arial"/>
          <w:sz w:val="22"/>
        </w:rPr>
        <w:t>pozostaje z oskarżonym w szczególnie bliskim stosunku osobistym</w:t>
      </w:r>
      <w:r w:rsidR="003414A2">
        <w:rPr>
          <w:rFonts w:ascii="Arial" w:hAnsi="Arial" w:cs="Arial"/>
          <w:sz w:val="22"/>
        </w:rPr>
        <w:t>;</w:t>
      </w:r>
    </w:p>
    <w:p w:rsidR="009846CD" w:rsidRDefault="003414A2" w:rsidP="009846CD">
      <w:pPr>
        <w:pStyle w:val="Akapitzlist"/>
        <w:numPr>
          <w:ilvl w:val="1"/>
          <w:numId w:val="1"/>
        </w:numPr>
        <w:spacing w:line="276" w:lineRule="auto"/>
        <w:jc w:val="both"/>
        <w:rPr>
          <w:rFonts w:ascii="Arial" w:hAnsi="Arial" w:cs="Arial"/>
          <w:sz w:val="22"/>
        </w:rPr>
      </w:pPr>
      <w:r>
        <w:rPr>
          <w:rFonts w:ascii="Arial" w:hAnsi="Arial" w:cs="Arial"/>
          <w:sz w:val="22"/>
        </w:rPr>
        <w:t>jest osobą najbliższą dla oskarżonego;</w:t>
      </w:r>
    </w:p>
    <w:p w:rsidR="003414A2" w:rsidRPr="00E75D76" w:rsidRDefault="003414A2" w:rsidP="009846CD">
      <w:pPr>
        <w:pStyle w:val="Akapitzlist"/>
        <w:numPr>
          <w:ilvl w:val="1"/>
          <w:numId w:val="1"/>
        </w:numPr>
        <w:spacing w:line="276" w:lineRule="auto"/>
        <w:jc w:val="both"/>
        <w:rPr>
          <w:rFonts w:ascii="Arial" w:hAnsi="Arial" w:cs="Arial"/>
          <w:b/>
          <w:color w:val="FF0000"/>
          <w:sz w:val="22"/>
        </w:rPr>
      </w:pPr>
      <w:r w:rsidRPr="00E75D76">
        <w:rPr>
          <w:rFonts w:ascii="Arial" w:hAnsi="Arial" w:cs="Arial"/>
          <w:b/>
          <w:color w:val="FF0000"/>
          <w:sz w:val="22"/>
        </w:rPr>
        <w:t xml:space="preserve">odpowiedź na pytanie mogłaby go narazić na odpowiedzialność karną lub karnoskarbową. </w:t>
      </w:r>
    </w:p>
    <w:p w:rsidR="003414A2" w:rsidRPr="003414A2" w:rsidRDefault="003414A2" w:rsidP="003414A2">
      <w:pPr>
        <w:pStyle w:val="Akapitzlist"/>
        <w:numPr>
          <w:ilvl w:val="0"/>
          <w:numId w:val="1"/>
        </w:numPr>
        <w:spacing w:line="276" w:lineRule="auto"/>
        <w:jc w:val="both"/>
        <w:rPr>
          <w:rFonts w:ascii="Arial" w:hAnsi="Arial" w:cs="Arial"/>
          <w:b/>
          <w:sz w:val="22"/>
        </w:rPr>
      </w:pPr>
      <w:r w:rsidRPr="003414A2">
        <w:rPr>
          <w:rFonts w:ascii="Arial" w:hAnsi="Arial" w:cs="Arial"/>
          <w:b/>
          <w:sz w:val="22"/>
        </w:rPr>
        <w:t>List gończy może wydać:</w:t>
      </w:r>
    </w:p>
    <w:p w:rsidR="003414A2" w:rsidRPr="00E75D76" w:rsidRDefault="003414A2" w:rsidP="003414A2">
      <w:pPr>
        <w:pStyle w:val="Akapitzlist"/>
        <w:numPr>
          <w:ilvl w:val="1"/>
          <w:numId w:val="1"/>
        </w:numPr>
        <w:spacing w:line="276" w:lineRule="auto"/>
        <w:jc w:val="both"/>
        <w:rPr>
          <w:rFonts w:ascii="Arial" w:hAnsi="Arial" w:cs="Arial"/>
          <w:b/>
          <w:color w:val="FF0000"/>
          <w:sz w:val="22"/>
        </w:rPr>
      </w:pPr>
      <w:r w:rsidRPr="00E75D76">
        <w:rPr>
          <w:rFonts w:ascii="Arial" w:hAnsi="Arial" w:cs="Arial"/>
          <w:b/>
          <w:color w:val="FF0000"/>
          <w:sz w:val="22"/>
        </w:rPr>
        <w:t>sąd lub prokurator;</w:t>
      </w:r>
    </w:p>
    <w:p w:rsidR="003414A2" w:rsidRDefault="003414A2" w:rsidP="003414A2">
      <w:pPr>
        <w:pStyle w:val="Akapitzlist"/>
        <w:numPr>
          <w:ilvl w:val="1"/>
          <w:numId w:val="1"/>
        </w:numPr>
        <w:spacing w:line="276" w:lineRule="auto"/>
        <w:jc w:val="both"/>
        <w:rPr>
          <w:rFonts w:ascii="Arial" w:hAnsi="Arial" w:cs="Arial"/>
          <w:sz w:val="22"/>
        </w:rPr>
      </w:pPr>
      <w:r>
        <w:rPr>
          <w:rFonts w:ascii="Arial" w:hAnsi="Arial" w:cs="Arial"/>
          <w:sz w:val="22"/>
        </w:rPr>
        <w:t>wyłącznie sąd właściwy do rozpoznania sprawy;</w:t>
      </w:r>
    </w:p>
    <w:p w:rsidR="003414A2" w:rsidRDefault="003414A2" w:rsidP="003414A2">
      <w:pPr>
        <w:pStyle w:val="Akapitzlist"/>
        <w:numPr>
          <w:ilvl w:val="1"/>
          <w:numId w:val="1"/>
        </w:numPr>
        <w:spacing w:line="276" w:lineRule="auto"/>
        <w:jc w:val="both"/>
        <w:rPr>
          <w:rFonts w:ascii="Arial" w:hAnsi="Arial" w:cs="Arial"/>
          <w:sz w:val="22"/>
        </w:rPr>
      </w:pPr>
      <w:r>
        <w:rPr>
          <w:rFonts w:ascii="Arial" w:hAnsi="Arial" w:cs="Arial"/>
          <w:sz w:val="22"/>
        </w:rPr>
        <w:t xml:space="preserve">właściwy miejscowo sąd okręgowy. </w:t>
      </w:r>
    </w:p>
    <w:p w:rsidR="003414A2" w:rsidRPr="003414A2" w:rsidRDefault="003414A2" w:rsidP="003414A2">
      <w:pPr>
        <w:pStyle w:val="Akapitzlist"/>
        <w:numPr>
          <w:ilvl w:val="0"/>
          <w:numId w:val="1"/>
        </w:numPr>
        <w:spacing w:line="276" w:lineRule="auto"/>
        <w:jc w:val="both"/>
        <w:rPr>
          <w:rFonts w:ascii="Arial" w:hAnsi="Arial" w:cs="Arial"/>
          <w:b/>
          <w:sz w:val="22"/>
        </w:rPr>
      </w:pPr>
      <w:r w:rsidRPr="003414A2">
        <w:rPr>
          <w:rFonts w:ascii="Arial" w:hAnsi="Arial" w:cs="Arial"/>
          <w:b/>
          <w:sz w:val="22"/>
        </w:rPr>
        <w:t>Karę porządkową aresztu stosuje się wobec:</w:t>
      </w:r>
    </w:p>
    <w:p w:rsidR="003414A2" w:rsidRDefault="003414A2" w:rsidP="003414A2">
      <w:pPr>
        <w:pStyle w:val="Akapitzlist"/>
        <w:numPr>
          <w:ilvl w:val="1"/>
          <w:numId w:val="1"/>
        </w:numPr>
        <w:spacing w:line="276" w:lineRule="auto"/>
        <w:jc w:val="both"/>
        <w:rPr>
          <w:rFonts w:ascii="Arial" w:hAnsi="Arial" w:cs="Arial"/>
          <w:sz w:val="22"/>
        </w:rPr>
      </w:pPr>
      <w:r w:rsidRPr="003414A2">
        <w:rPr>
          <w:rFonts w:ascii="Arial" w:hAnsi="Arial" w:cs="Arial"/>
          <w:sz w:val="22"/>
        </w:rPr>
        <w:t>osoby, która bezpodstawnie uchyla się od złożenia zeznania, wykonania czynności biegłego, tłumacza lub specjalisty, złożenia przyrzeczenia, wydania przedmiotu, dopełnienia obowiązków poręczyciela albo spełnienia innego ciążącego na niej obowiązku w toku postępowania, jak również do przedstawiciela lub kierownika instytucji, osoby prawnej lub jednostki organizacyjnej niemającej osobowości prawnej obowiązanej udzielić pomocy organowi prowadzącemu postępowanie karne, która bezpodstawnie nie udziela pomocy w wyznaczonym terminie</w:t>
      </w:r>
      <w:r>
        <w:rPr>
          <w:rFonts w:ascii="Arial" w:hAnsi="Arial" w:cs="Arial"/>
          <w:sz w:val="22"/>
        </w:rPr>
        <w:t xml:space="preserve">; </w:t>
      </w:r>
    </w:p>
    <w:p w:rsidR="003414A2" w:rsidRPr="00E75D76" w:rsidRDefault="003414A2" w:rsidP="003414A2">
      <w:pPr>
        <w:pStyle w:val="Akapitzlist"/>
        <w:numPr>
          <w:ilvl w:val="1"/>
          <w:numId w:val="1"/>
        </w:numPr>
        <w:spacing w:line="276" w:lineRule="auto"/>
        <w:jc w:val="both"/>
        <w:rPr>
          <w:rFonts w:ascii="Arial" w:hAnsi="Arial" w:cs="Arial"/>
          <w:b/>
          <w:color w:val="FF0000"/>
          <w:sz w:val="22"/>
        </w:rPr>
      </w:pPr>
      <w:r w:rsidRPr="00E75D76">
        <w:rPr>
          <w:rFonts w:ascii="Arial" w:hAnsi="Arial" w:cs="Arial"/>
          <w:b/>
          <w:color w:val="FF0000"/>
          <w:sz w:val="22"/>
        </w:rPr>
        <w:t>świadka, jeżeli uporczywie uchylania się od złożenia zeznania; biegłego, jeżeli uchyla się od wykonania czynności oraz tłumacza lub specjalisty, a także osoby zobowiązanej do wydania przedmiotów podlegających zajęciu (lub zatrzymaniu) w postępowaniu karnym; kary aresztu nie stosuje się do stron, pełnomocników i obrońców;</w:t>
      </w:r>
    </w:p>
    <w:p w:rsidR="003414A2" w:rsidRDefault="003414A2" w:rsidP="003414A2">
      <w:pPr>
        <w:pStyle w:val="Akapitzlist"/>
        <w:numPr>
          <w:ilvl w:val="1"/>
          <w:numId w:val="1"/>
        </w:numPr>
        <w:spacing w:line="276" w:lineRule="auto"/>
        <w:jc w:val="both"/>
        <w:rPr>
          <w:rFonts w:ascii="Arial" w:hAnsi="Arial" w:cs="Arial"/>
          <w:sz w:val="22"/>
        </w:rPr>
      </w:pPr>
      <w:r w:rsidRPr="003414A2">
        <w:rPr>
          <w:rFonts w:ascii="Arial" w:hAnsi="Arial" w:cs="Arial"/>
          <w:sz w:val="22"/>
        </w:rPr>
        <w:lastRenderedPageBreak/>
        <w:t>świadka, bi</w:t>
      </w:r>
      <w:r>
        <w:rPr>
          <w:rFonts w:ascii="Arial" w:hAnsi="Arial" w:cs="Arial"/>
          <w:sz w:val="22"/>
        </w:rPr>
        <w:t>egłego, tłumacza lub specjalisty</w:t>
      </w:r>
      <w:r w:rsidRPr="003414A2">
        <w:rPr>
          <w:rFonts w:ascii="Arial" w:hAnsi="Arial" w:cs="Arial"/>
          <w:sz w:val="22"/>
        </w:rPr>
        <w:t>, który bez należytego usprawiedliwienia nie stawił się na wezwanie organu prowadzącego postępowanie albo bez zezwolenia tego organu wydalił się z miejsca czynności przed jej zakończeniem,</w:t>
      </w:r>
      <w:r>
        <w:rPr>
          <w:rFonts w:ascii="Arial" w:hAnsi="Arial" w:cs="Arial"/>
          <w:sz w:val="22"/>
        </w:rPr>
        <w:t xml:space="preserve"> w tym także wobec obrońcy lub pełnomocnika. </w:t>
      </w:r>
    </w:p>
    <w:p w:rsidR="003414A2" w:rsidRPr="00C23F2E" w:rsidRDefault="003414A2" w:rsidP="003414A2">
      <w:pPr>
        <w:pStyle w:val="Akapitzlist"/>
        <w:numPr>
          <w:ilvl w:val="0"/>
          <w:numId w:val="1"/>
        </w:numPr>
        <w:spacing w:line="276" w:lineRule="auto"/>
        <w:jc w:val="both"/>
        <w:rPr>
          <w:rFonts w:ascii="Arial" w:hAnsi="Arial" w:cs="Arial"/>
          <w:b/>
          <w:sz w:val="22"/>
        </w:rPr>
      </w:pPr>
      <w:r w:rsidRPr="00C23F2E">
        <w:rPr>
          <w:rFonts w:ascii="Arial" w:hAnsi="Arial" w:cs="Arial"/>
          <w:b/>
          <w:sz w:val="22"/>
        </w:rPr>
        <w:t>O przepadku poręczenia majątkowego orzeka:</w:t>
      </w:r>
    </w:p>
    <w:p w:rsidR="003414A2" w:rsidRDefault="003414A2" w:rsidP="003414A2">
      <w:pPr>
        <w:pStyle w:val="Akapitzlist"/>
        <w:numPr>
          <w:ilvl w:val="1"/>
          <w:numId w:val="1"/>
        </w:numPr>
        <w:spacing w:line="276" w:lineRule="auto"/>
        <w:jc w:val="both"/>
        <w:rPr>
          <w:rFonts w:ascii="Arial" w:hAnsi="Arial" w:cs="Arial"/>
          <w:sz w:val="22"/>
        </w:rPr>
      </w:pPr>
      <w:r>
        <w:rPr>
          <w:rFonts w:ascii="Arial" w:hAnsi="Arial" w:cs="Arial"/>
          <w:sz w:val="22"/>
        </w:rPr>
        <w:t>sąd, a w postępowaniu przygotowawczym prokurator;</w:t>
      </w:r>
    </w:p>
    <w:p w:rsidR="003414A2" w:rsidRDefault="003414A2" w:rsidP="003414A2">
      <w:pPr>
        <w:pStyle w:val="Akapitzlist"/>
        <w:numPr>
          <w:ilvl w:val="1"/>
          <w:numId w:val="1"/>
        </w:numPr>
        <w:spacing w:line="276" w:lineRule="auto"/>
        <w:jc w:val="both"/>
        <w:rPr>
          <w:rFonts w:ascii="Arial" w:hAnsi="Arial" w:cs="Arial"/>
          <w:sz w:val="22"/>
        </w:rPr>
      </w:pPr>
      <w:r>
        <w:rPr>
          <w:rFonts w:ascii="Arial" w:hAnsi="Arial" w:cs="Arial"/>
          <w:sz w:val="22"/>
        </w:rPr>
        <w:t xml:space="preserve">sąd właściwy do rozpoznania sprawy działając z urzędu; </w:t>
      </w:r>
    </w:p>
    <w:p w:rsidR="003414A2" w:rsidRPr="00E75D76" w:rsidRDefault="003414A2" w:rsidP="003414A2">
      <w:pPr>
        <w:pStyle w:val="Akapitzlist"/>
        <w:numPr>
          <w:ilvl w:val="1"/>
          <w:numId w:val="1"/>
        </w:numPr>
        <w:spacing w:line="276" w:lineRule="auto"/>
        <w:jc w:val="both"/>
        <w:rPr>
          <w:rFonts w:ascii="Arial" w:hAnsi="Arial" w:cs="Arial"/>
          <w:b/>
          <w:color w:val="FF0000"/>
          <w:sz w:val="22"/>
        </w:rPr>
      </w:pPr>
      <w:r w:rsidRPr="00E75D76">
        <w:rPr>
          <w:rFonts w:ascii="Arial" w:hAnsi="Arial" w:cs="Arial"/>
          <w:b/>
          <w:color w:val="FF0000"/>
          <w:sz w:val="22"/>
        </w:rPr>
        <w:t xml:space="preserve">sąd z urzędu, a w postępowaniu przygotowawczym – sąd właściwy do rozpoznania sprawy, działając na wniosek prokuratora. </w:t>
      </w:r>
    </w:p>
    <w:p w:rsidR="00C23F2E" w:rsidRPr="00C23F2E" w:rsidRDefault="00C23F2E" w:rsidP="00C23F2E">
      <w:pPr>
        <w:pStyle w:val="Akapitzlist"/>
        <w:numPr>
          <w:ilvl w:val="0"/>
          <w:numId w:val="1"/>
        </w:numPr>
        <w:spacing w:line="276" w:lineRule="auto"/>
        <w:jc w:val="both"/>
        <w:rPr>
          <w:rFonts w:ascii="Arial" w:hAnsi="Arial" w:cs="Arial"/>
          <w:b/>
          <w:sz w:val="22"/>
        </w:rPr>
      </w:pPr>
      <w:r w:rsidRPr="00C23F2E">
        <w:rPr>
          <w:rFonts w:ascii="Arial" w:hAnsi="Arial" w:cs="Arial"/>
          <w:b/>
          <w:sz w:val="22"/>
        </w:rPr>
        <w:t>W posiedzeniu w przedmiocie zastosowania tymczasowego aresztowania obecność oskarżonego jest:</w:t>
      </w:r>
    </w:p>
    <w:p w:rsidR="00C23F2E" w:rsidRPr="00E75D76" w:rsidRDefault="00C23F2E" w:rsidP="00C23F2E">
      <w:pPr>
        <w:pStyle w:val="Akapitzlist"/>
        <w:numPr>
          <w:ilvl w:val="1"/>
          <w:numId w:val="1"/>
        </w:numPr>
        <w:spacing w:line="276" w:lineRule="auto"/>
        <w:jc w:val="both"/>
        <w:rPr>
          <w:rFonts w:ascii="Arial" w:hAnsi="Arial" w:cs="Arial"/>
          <w:b/>
          <w:color w:val="FF0000"/>
          <w:sz w:val="22"/>
        </w:rPr>
      </w:pPr>
      <w:r w:rsidRPr="00E75D76">
        <w:rPr>
          <w:rFonts w:ascii="Arial" w:hAnsi="Arial" w:cs="Arial"/>
          <w:b/>
          <w:color w:val="FF0000"/>
          <w:sz w:val="22"/>
        </w:rPr>
        <w:t xml:space="preserve">obligatoryjna; </w:t>
      </w:r>
    </w:p>
    <w:p w:rsidR="00C23F2E" w:rsidRDefault="00C23F2E" w:rsidP="00C23F2E">
      <w:pPr>
        <w:pStyle w:val="Akapitzlist"/>
        <w:numPr>
          <w:ilvl w:val="1"/>
          <w:numId w:val="1"/>
        </w:numPr>
        <w:spacing w:line="276" w:lineRule="auto"/>
        <w:jc w:val="both"/>
        <w:rPr>
          <w:rFonts w:ascii="Arial" w:hAnsi="Arial" w:cs="Arial"/>
          <w:sz w:val="22"/>
        </w:rPr>
      </w:pPr>
      <w:r>
        <w:rPr>
          <w:rFonts w:ascii="Arial" w:hAnsi="Arial" w:cs="Arial"/>
          <w:sz w:val="22"/>
        </w:rPr>
        <w:t>co do zasady obligatoryjna, ale sąd może odstąpić od doprowadzenia oskarżonego na posiedzenie aresztowe, jeżeli byłoby to znacznie utrudnione; sąd wyznacza wówczas oskarżonemu obrońcę z urzędu;</w:t>
      </w:r>
    </w:p>
    <w:p w:rsidR="00C23F2E" w:rsidRDefault="00C23F2E" w:rsidP="00C23F2E">
      <w:pPr>
        <w:pStyle w:val="Akapitzlist"/>
        <w:numPr>
          <w:ilvl w:val="1"/>
          <w:numId w:val="1"/>
        </w:numPr>
        <w:spacing w:line="276" w:lineRule="auto"/>
        <w:jc w:val="both"/>
        <w:rPr>
          <w:rFonts w:ascii="Arial" w:hAnsi="Arial" w:cs="Arial"/>
          <w:sz w:val="22"/>
        </w:rPr>
      </w:pPr>
      <w:r>
        <w:rPr>
          <w:rFonts w:ascii="Arial" w:hAnsi="Arial" w:cs="Arial"/>
          <w:sz w:val="22"/>
        </w:rPr>
        <w:t xml:space="preserve">co do zasady obligatoryjna, ale sąd może uznać za wystarczającą obecność obrońcy. </w:t>
      </w:r>
    </w:p>
    <w:p w:rsidR="00C23F2E" w:rsidRDefault="00C23F2E" w:rsidP="00C23F2E">
      <w:pPr>
        <w:pStyle w:val="Akapitzlist"/>
        <w:numPr>
          <w:ilvl w:val="0"/>
          <w:numId w:val="1"/>
        </w:numPr>
        <w:spacing w:line="276" w:lineRule="auto"/>
        <w:jc w:val="both"/>
        <w:rPr>
          <w:rFonts w:ascii="Arial" w:hAnsi="Arial" w:cs="Arial"/>
          <w:b/>
          <w:sz w:val="22"/>
        </w:rPr>
      </w:pPr>
      <w:r>
        <w:rPr>
          <w:rFonts w:ascii="Arial" w:hAnsi="Arial" w:cs="Arial"/>
          <w:b/>
          <w:sz w:val="22"/>
        </w:rPr>
        <w:t>Wymień 5 środków zapobiegawczych:</w:t>
      </w:r>
    </w:p>
    <w:p w:rsidR="00C23F2E" w:rsidRPr="002935BD" w:rsidRDefault="00E75D76" w:rsidP="00C23F2E">
      <w:pPr>
        <w:pStyle w:val="Akapitzlist"/>
        <w:numPr>
          <w:ilvl w:val="1"/>
          <w:numId w:val="1"/>
        </w:numPr>
        <w:spacing w:line="276" w:lineRule="auto"/>
        <w:jc w:val="both"/>
        <w:rPr>
          <w:rFonts w:ascii="Arial" w:hAnsi="Arial" w:cs="Arial"/>
          <w:sz w:val="22"/>
        </w:rPr>
      </w:pPr>
      <w:r w:rsidRPr="002935BD">
        <w:rPr>
          <w:rFonts w:ascii="Arial" w:hAnsi="Arial" w:cs="Arial"/>
          <w:sz w:val="22"/>
        </w:rPr>
        <w:t xml:space="preserve">Tymczasowe aresztowanie </w:t>
      </w:r>
    </w:p>
    <w:p w:rsidR="00C23F2E" w:rsidRPr="002935BD" w:rsidRDefault="00E75D76" w:rsidP="00C23F2E">
      <w:pPr>
        <w:pStyle w:val="Akapitzlist"/>
        <w:numPr>
          <w:ilvl w:val="1"/>
          <w:numId w:val="1"/>
        </w:numPr>
        <w:spacing w:line="276" w:lineRule="auto"/>
        <w:jc w:val="both"/>
        <w:rPr>
          <w:rFonts w:ascii="Arial" w:hAnsi="Arial" w:cs="Arial"/>
          <w:sz w:val="22"/>
        </w:rPr>
      </w:pPr>
      <w:r w:rsidRPr="002935BD">
        <w:rPr>
          <w:rFonts w:ascii="Arial" w:hAnsi="Arial" w:cs="Arial"/>
          <w:sz w:val="22"/>
        </w:rPr>
        <w:t>Dozór policji</w:t>
      </w:r>
    </w:p>
    <w:p w:rsidR="00E75D76" w:rsidRPr="002935BD" w:rsidRDefault="00E75D76" w:rsidP="00C23F2E">
      <w:pPr>
        <w:pStyle w:val="Akapitzlist"/>
        <w:numPr>
          <w:ilvl w:val="1"/>
          <w:numId w:val="1"/>
        </w:numPr>
        <w:spacing w:line="276" w:lineRule="auto"/>
        <w:jc w:val="both"/>
        <w:rPr>
          <w:rFonts w:ascii="Arial" w:hAnsi="Arial" w:cs="Arial"/>
          <w:sz w:val="22"/>
        </w:rPr>
      </w:pPr>
      <w:r w:rsidRPr="002935BD">
        <w:rPr>
          <w:rFonts w:ascii="Arial" w:hAnsi="Arial" w:cs="Arial"/>
          <w:sz w:val="22"/>
        </w:rPr>
        <w:t xml:space="preserve">Dozór warunkowy policji </w:t>
      </w:r>
      <w:bookmarkStart w:id="0" w:name="_GoBack"/>
      <w:bookmarkEnd w:id="0"/>
    </w:p>
    <w:p w:rsidR="00C23F2E" w:rsidRPr="002935BD" w:rsidRDefault="00E75D76" w:rsidP="00C23F2E">
      <w:pPr>
        <w:pStyle w:val="Akapitzlist"/>
        <w:numPr>
          <w:ilvl w:val="1"/>
          <w:numId w:val="1"/>
        </w:numPr>
        <w:spacing w:line="276" w:lineRule="auto"/>
        <w:jc w:val="both"/>
        <w:rPr>
          <w:rFonts w:ascii="Arial" w:hAnsi="Arial" w:cs="Arial"/>
          <w:sz w:val="22"/>
        </w:rPr>
      </w:pPr>
      <w:r w:rsidRPr="002935BD">
        <w:rPr>
          <w:rFonts w:ascii="Arial" w:hAnsi="Arial" w:cs="Arial"/>
          <w:sz w:val="22"/>
        </w:rPr>
        <w:t>Poręczenie majątkowe</w:t>
      </w:r>
    </w:p>
    <w:p w:rsidR="00C23F2E" w:rsidRPr="002935BD" w:rsidRDefault="00E75D76" w:rsidP="00C23F2E">
      <w:pPr>
        <w:pStyle w:val="Akapitzlist"/>
        <w:numPr>
          <w:ilvl w:val="1"/>
          <w:numId w:val="1"/>
        </w:numPr>
        <w:spacing w:line="276" w:lineRule="auto"/>
        <w:jc w:val="both"/>
        <w:rPr>
          <w:rFonts w:ascii="Arial" w:hAnsi="Arial" w:cs="Arial"/>
          <w:sz w:val="22"/>
        </w:rPr>
      </w:pPr>
      <w:r w:rsidRPr="002935BD">
        <w:rPr>
          <w:rFonts w:ascii="Arial" w:hAnsi="Arial" w:cs="Arial"/>
          <w:sz w:val="22"/>
        </w:rPr>
        <w:t xml:space="preserve">Poręczenie społeczne </w:t>
      </w:r>
    </w:p>
    <w:p w:rsidR="00C23F2E" w:rsidRDefault="00C23F2E" w:rsidP="00C23F2E">
      <w:pPr>
        <w:spacing w:line="276" w:lineRule="auto"/>
        <w:jc w:val="both"/>
        <w:rPr>
          <w:rFonts w:ascii="Arial" w:hAnsi="Arial" w:cs="Arial"/>
          <w:b/>
          <w:sz w:val="22"/>
        </w:rPr>
      </w:pPr>
    </w:p>
    <w:p w:rsidR="00C23F2E" w:rsidRDefault="00C23F2E" w:rsidP="00C23F2E">
      <w:pPr>
        <w:spacing w:line="276" w:lineRule="auto"/>
        <w:jc w:val="center"/>
        <w:rPr>
          <w:rFonts w:ascii="Arial" w:hAnsi="Arial" w:cs="Arial"/>
          <w:b/>
          <w:sz w:val="22"/>
        </w:rPr>
      </w:pPr>
      <w:r>
        <w:rPr>
          <w:rFonts w:ascii="Arial" w:hAnsi="Arial" w:cs="Arial"/>
          <w:b/>
          <w:sz w:val="22"/>
        </w:rPr>
        <w:t xml:space="preserve">Pojęcie środków zapobiegawczych i cele ich stosowania. Organy stosujące środki zapobiegawcze. Przesłanki ogólne i szczególne. </w:t>
      </w:r>
    </w:p>
    <w:p w:rsidR="00E75D76" w:rsidRDefault="00E75D76" w:rsidP="00C23F2E">
      <w:pPr>
        <w:spacing w:line="276" w:lineRule="auto"/>
        <w:jc w:val="center"/>
        <w:rPr>
          <w:rFonts w:ascii="Arial" w:hAnsi="Arial" w:cs="Arial"/>
          <w:b/>
          <w:sz w:val="22"/>
        </w:rPr>
      </w:pPr>
    </w:p>
    <w:p w:rsidR="00E75D76" w:rsidRDefault="00E75D76" w:rsidP="00E75D76">
      <w:pPr>
        <w:spacing w:line="276" w:lineRule="auto"/>
        <w:jc w:val="both"/>
        <w:rPr>
          <w:rFonts w:ascii="Arial" w:hAnsi="Arial" w:cs="Arial"/>
          <w:sz w:val="22"/>
        </w:rPr>
      </w:pPr>
      <w:r w:rsidRPr="00E75D76">
        <w:rPr>
          <w:rFonts w:ascii="Arial" w:hAnsi="Arial" w:cs="Arial"/>
          <w:b/>
          <w:sz w:val="22"/>
        </w:rPr>
        <w:t>Pojęcie środków zapobiegawczych</w:t>
      </w:r>
      <w:r>
        <w:rPr>
          <w:rFonts w:ascii="Arial" w:hAnsi="Arial" w:cs="Arial"/>
          <w:sz w:val="22"/>
        </w:rPr>
        <w:t xml:space="preserve">: </w:t>
      </w:r>
      <w:r w:rsidRPr="00E75D76">
        <w:rPr>
          <w:rFonts w:ascii="Arial" w:hAnsi="Arial" w:cs="Arial"/>
          <w:sz w:val="22"/>
        </w:rPr>
        <w:t>rodzaj środków przymusu, których zasadniczym zadaniem jest zabezpieczenie prawidłowego toku postępowania. „Zabezpieczają” proces karny przed zdarzeniami, do których jeszcze nie doszło</w:t>
      </w:r>
    </w:p>
    <w:p w:rsidR="00E75D76" w:rsidRPr="00E75D76" w:rsidRDefault="00E75D76" w:rsidP="00E75D76">
      <w:pPr>
        <w:spacing w:line="276" w:lineRule="auto"/>
        <w:jc w:val="both"/>
        <w:rPr>
          <w:rFonts w:ascii="Arial" w:hAnsi="Arial" w:cs="Arial"/>
          <w:sz w:val="22"/>
        </w:rPr>
      </w:pPr>
      <w:r w:rsidRPr="00E75D76">
        <w:rPr>
          <w:rFonts w:ascii="Arial" w:hAnsi="Arial" w:cs="Arial"/>
          <w:b/>
          <w:sz w:val="22"/>
        </w:rPr>
        <w:t>Cele stosowania:</w:t>
      </w:r>
      <w:r>
        <w:rPr>
          <w:rFonts w:ascii="Arial" w:hAnsi="Arial" w:cs="Arial"/>
          <w:b/>
          <w:sz w:val="22"/>
        </w:rPr>
        <w:t xml:space="preserve"> </w:t>
      </w:r>
      <w:r w:rsidRPr="00E75D76">
        <w:rPr>
          <w:rFonts w:ascii="Arial" w:hAnsi="Arial" w:cs="Arial"/>
          <w:sz w:val="22"/>
        </w:rPr>
        <w:t>1) zabezpieczenie prawidłowego toku postępowania (cel zasadniczy); 2) zapobieżenie popełnieniu przez oskarżonego nowego, ciężkiego przestępstwa (cel akcesoryjny)</w:t>
      </w:r>
    </w:p>
    <w:p w:rsidR="00E75D76" w:rsidRDefault="00E75D76" w:rsidP="00E75D76">
      <w:pPr>
        <w:spacing w:line="276" w:lineRule="auto"/>
        <w:jc w:val="both"/>
        <w:rPr>
          <w:rFonts w:ascii="Arial" w:hAnsi="Arial" w:cs="Arial"/>
          <w:sz w:val="22"/>
        </w:rPr>
      </w:pPr>
      <w:r w:rsidRPr="00E75D76">
        <w:rPr>
          <w:rFonts w:ascii="Arial" w:hAnsi="Arial" w:cs="Arial"/>
          <w:b/>
          <w:sz w:val="22"/>
        </w:rPr>
        <w:t>Organ stosujący</w:t>
      </w:r>
      <w:r>
        <w:rPr>
          <w:rFonts w:ascii="Arial" w:hAnsi="Arial" w:cs="Arial"/>
          <w:sz w:val="22"/>
        </w:rPr>
        <w:t xml:space="preserve">: sąd, a w postępowaniu przygotowawczym – prokurator. Tymczasowe aresztowanie stosuje w postępowaniu przygotowawczym sąd </w:t>
      </w:r>
      <w:r>
        <w:rPr>
          <w:rFonts w:ascii="Arial" w:hAnsi="Arial" w:cs="Arial"/>
          <w:sz w:val="22"/>
        </w:rPr>
        <w:t>na wniosek prokuratora</w:t>
      </w:r>
      <w:r>
        <w:rPr>
          <w:rFonts w:ascii="Arial" w:hAnsi="Arial" w:cs="Arial"/>
          <w:sz w:val="22"/>
        </w:rPr>
        <w:t xml:space="preserve"> (rejonowy – gdy stosuje po raz pierwszy, właściwy do rozpoznania sprawy – gdy przedłuża stosowanie tymczasowego aresztowania; sąd apelacyjny – gdy tymczasowe aresztowanie stosowane jest ponad maksymalne okresy z art. 263 § 2 i 3 k.p.k.). Nakaz opuszczenia lokalu zajmowanego wspólnie z pokrzywdzonym po pierwszych 3 miesiącach, stosuje sąd na wniosek prokuratora </w:t>
      </w:r>
    </w:p>
    <w:p w:rsidR="00E75D76" w:rsidRPr="00E75D76" w:rsidRDefault="00E75D76" w:rsidP="00E75D76">
      <w:pPr>
        <w:spacing w:line="276" w:lineRule="auto"/>
        <w:jc w:val="both"/>
        <w:rPr>
          <w:rFonts w:ascii="Arial" w:hAnsi="Arial" w:cs="Arial"/>
          <w:sz w:val="22"/>
        </w:rPr>
      </w:pPr>
      <w:r>
        <w:rPr>
          <w:rFonts w:ascii="Arial" w:hAnsi="Arial" w:cs="Arial"/>
          <w:b/>
          <w:sz w:val="22"/>
        </w:rPr>
        <w:t xml:space="preserve">Przesłanka ogólna: </w:t>
      </w:r>
      <w:r>
        <w:rPr>
          <w:rFonts w:ascii="Arial" w:hAnsi="Arial" w:cs="Arial"/>
          <w:sz w:val="22"/>
        </w:rPr>
        <w:t xml:space="preserve">duże prawdopodobieństwo popełnienia przez oskarżonego przestępstwa </w:t>
      </w:r>
    </w:p>
    <w:p w:rsidR="00E75D76" w:rsidRPr="00E75D76" w:rsidRDefault="00E75D76" w:rsidP="00E75D76">
      <w:pPr>
        <w:spacing w:line="276" w:lineRule="auto"/>
        <w:jc w:val="both"/>
        <w:rPr>
          <w:rFonts w:ascii="Arial" w:hAnsi="Arial" w:cs="Arial"/>
          <w:sz w:val="22"/>
        </w:rPr>
      </w:pPr>
      <w:r>
        <w:rPr>
          <w:rFonts w:ascii="Arial" w:hAnsi="Arial" w:cs="Arial"/>
          <w:b/>
          <w:sz w:val="22"/>
        </w:rPr>
        <w:t xml:space="preserve">Przesłanki szczególne: </w:t>
      </w:r>
      <w:r w:rsidRPr="00E75D76">
        <w:rPr>
          <w:rFonts w:ascii="Arial" w:hAnsi="Arial" w:cs="Arial"/>
          <w:sz w:val="22"/>
        </w:rPr>
        <w:t>1) uzasadniona obawa ucieczki lub ukrywania się oskarżonego, zwłaszcza wtedy, gdy nie można ustalić jego tożsamości albo nie ma on w kraju stałego miejsca pobytu; 2) uzasadniona obawa, że oskarżony będzie nakłaniał do składania fałszywych zeznań lub wyjaśnień albo w inny bezprawny sposób utrudniał postępowanie karne – obawa matactwa; 3) oskarżonemu zarzucono popełnienie zbrodni lub występku zagrożonego karą pozbawienia wolności, której górna granica wynosi co najmniej 8 lat, albo którego sąd pierwszej instancji skazał na karę pozbawienia wolności nie niższą niż 3 lata; 4) wyjątkowo, można stosować tymczasowe aresztowanie, gdy zachodzi uzasadniona obawa, że oskarżony, któremu zarzucono popełnienie zbrodni lub umyślnego występku popełni przestępstwo przeciwko życiu, zdrowiu lub bezpieczeństwu powszechnemu, zwłaszcza gdy popełnieniem takiego przestępstwa groził tzw. areszt prewencyjny</w:t>
      </w:r>
    </w:p>
    <w:p w:rsidR="00C23F2E" w:rsidRDefault="00C23F2E" w:rsidP="00C23F2E">
      <w:pPr>
        <w:spacing w:line="276" w:lineRule="auto"/>
        <w:jc w:val="center"/>
        <w:rPr>
          <w:rFonts w:ascii="Arial" w:hAnsi="Arial" w:cs="Arial"/>
          <w:b/>
          <w:sz w:val="22"/>
        </w:rPr>
      </w:pPr>
    </w:p>
    <w:p w:rsidR="00C23F2E" w:rsidRPr="00C23F2E" w:rsidRDefault="00C23F2E" w:rsidP="00C23F2E">
      <w:pPr>
        <w:spacing w:line="276" w:lineRule="auto"/>
        <w:jc w:val="both"/>
        <w:rPr>
          <w:rFonts w:ascii="Arial" w:hAnsi="Arial" w:cs="Arial"/>
          <w:sz w:val="22"/>
        </w:rPr>
      </w:pPr>
    </w:p>
    <w:sectPr w:rsidR="00C23F2E" w:rsidRPr="00C23F2E" w:rsidSect="009846CD">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963" w:rsidRDefault="00473963" w:rsidP="00A22B03">
      <w:pPr>
        <w:spacing w:line="240" w:lineRule="auto"/>
      </w:pPr>
      <w:r>
        <w:separator/>
      </w:r>
    </w:p>
  </w:endnote>
  <w:endnote w:type="continuationSeparator" w:id="0">
    <w:p w:rsidR="00473963" w:rsidRDefault="00473963" w:rsidP="00A22B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963" w:rsidRDefault="00473963" w:rsidP="00A22B03">
      <w:pPr>
        <w:spacing w:line="240" w:lineRule="auto"/>
      </w:pPr>
      <w:r>
        <w:separator/>
      </w:r>
    </w:p>
  </w:footnote>
  <w:footnote w:type="continuationSeparator" w:id="0">
    <w:p w:rsidR="00473963" w:rsidRDefault="00473963" w:rsidP="00A22B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83AEF"/>
    <w:multiLevelType w:val="hybridMultilevel"/>
    <w:tmpl w:val="FFD05C6E"/>
    <w:lvl w:ilvl="0" w:tplc="0415000F">
      <w:start w:val="1"/>
      <w:numFmt w:val="decimal"/>
      <w:lvlText w:val="%1."/>
      <w:lvlJc w:val="left"/>
      <w:pPr>
        <w:ind w:left="360" w:hanging="360"/>
      </w:pPr>
      <w:rPr>
        <w:rFonts w:hint="default"/>
      </w:rPr>
    </w:lvl>
    <w:lvl w:ilvl="1" w:tplc="4F9A5698">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B60"/>
    <w:rsid w:val="0027188B"/>
    <w:rsid w:val="002935BD"/>
    <w:rsid w:val="003414A2"/>
    <w:rsid w:val="00473963"/>
    <w:rsid w:val="00573AAC"/>
    <w:rsid w:val="007C71E9"/>
    <w:rsid w:val="00827B60"/>
    <w:rsid w:val="009846CD"/>
    <w:rsid w:val="00A22B03"/>
    <w:rsid w:val="00BC1162"/>
    <w:rsid w:val="00BC2B6D"/>
    <w:rsid w:val="00C23F2E"/>
    <w:rsid w:val="00E06B16"/>
    <w:rsid w:val="00E75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C3B03"/>
  <w15:chartTrackingRefBased/>
  <w15:docId w15:val="{44594211-5E80-4B82-90D1-93BC1233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E06B16"/>
    <w:pPr>
      <w:spacing w:after="0" w:line="360" w:lineRule="auto"/>
    </w:pPr>
    <w:rPr>
      <w:rFonts w:ascii="Times New Roman" w:hAnsi="Times New Roman"/>
      <w:sz w:val="24"/>
      <w:lang w:val="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C1162"/>
    <w:pPr>
      <w:spacing w:after="0" w:line="240" w:lineRule="auto"/>
      <w:jc w:val="both"/>
    </w:pPr>
    <w:rPr>
      <w:rFonts w:ascii="Calibri Light" w:hAnsi="Calibri Light"/>
      <w:lang w:val="pl-PL"/>
    </w:rPr>
  </w:style>
  <w:style w:type="paragraph" w:styleId="Akapitzlist">
    <w:name w:val="List Paragraph"/>
    <w:basedOn w:val="Normalny"/>
    <w:uiPriority w:val="34"/>
    <w:qFormat/>
    <w:rsid w:val="00A22B03"/>
    <w:pPr>
      <w:ind w:left="720"/>
      <w:contextualSpacing/>
    </w:pPr>
  </w:style>
  <w:style w:type="paragraph" w:styleId="Tekstprzypisukocowego">
    <w:name w:val="endnote text"/>
    <w:basedOn w:val="Normalny"/>
    <w:link w:val="TekstprzypisukocowegoZnak"/>
    <w:uiPriority w:val="99"/>
    <w:semiHidden/>
    <w:unhideWhenUsed/>
    <w:rsid w:val="00A22B03"/>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22B03"/>
    <w:rPr>
      <w:rFonts w:ascii="Times New Roman" w:hAnsi="Times New Roman"/>
      <w:sz w:val="20"/>
      <w:szCs w:val="20"/>
      <w:lang w:val="pl-PL"/>
    </w:rPr>
  </w:style>
  <w:style w:type="character" w:styleId="Odwoanieprzypisukocowego">
    <w:name w:val="endnote reference"/>
    <w:basedOn w:val="Domylnaczcionkaakapitu"/>
    <w:uiPriority w:val="99"/>
    <w:semiHidden/>
    <w:unhideWhenUsed/>
    <w:rsid w:val="00A22B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847</Words>
  <Characters>5083</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Czerniak</dc:creator>
  <cp:keywords/>
  <dc:description/>
  <cp:lastModifiedBy>Dominika Czerniak</cp:lastModifiedBy>
  <cp:revision>4</cp:revision>
  <dcterms:created xsi:type="dcterms:W3CDTF">2017-04-07T21:40:00Z</dcterms:created>
  <dcterms:modified xsi:type="dcterms:W3CDTF">2017-04-08T19:34:00Z</dcterms:modified>
</cp:coreProperties>
</file>