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D9F7F" w14:textId="465119D5" w:rsidR="005522C7" w:rsidRDefault="005522C7" w:rsidP="00B95AA8">
      <w:pPr>
        <w:ind w:firstLine="360"/>
        <w:jc w:val="center"/>
      </w:pPr>
      <w:bookmarkStart w:id="0" w:name="_GoBack"/>
      <w:r w:rsidRPr="00AD66A8">
        <w:rPr>
          <w:rFonts w:ascii="Times New Roman" w:hAnsi="Times New Roman" w:cs="Times New Roman"/>
          <w:b/>
          <w:u w:val="single"/>
          <w:lang w:val="pl-PL"/>
        </w:rPr>
        <w:t>Ćwiczenie 1.</w:t>
      </w:r>
      <w:r>
        <w:rPr>
          <w:rFonts w:ascii="Times New Roman" w:hAnsi="Times New Roman" w:cs="Times New Roman"/>
          <w:b/>
          <w:u w:val="single"/>
          <w:lang w:val="pl-PL"/>
        </w:rPr>
        <w:t xml:space="preserve">7. </w:t>
      </w:r>
      <w:r w:rsidR="0054133B">
        <w:rPr>
          <w:rFonts w:ascii="Times New Roman" w:hAnsi="Times New Roman" w:cs="Times New Roman"/>
          <w:b/>
          <w:u w:val="single"/>
          <w:lang w:val="pl-PL"/>
        </w:rPr>
        <w:t>Podstawowe zagadnienie</w:t>
      </w:r>
      <w:r w:rsidR="001E61BF">
        <w:rPr>
          <w:rFonts w:ascii="Times New Roman" w:hAnsi="Times New Roman" w:cs="Times New Roman"/>
          <w:b/>
          <w:u w:val="single"/>
          <w:lang w:val="pl-PL"/>
        </w:rPr>
        <w:t xml:space="preserve"> związane z jednolitym rynkiem europejskim</w:t>
      </w:r>
      <w:bookmarkEnd w:id="0"/>
    </w:p>
    <w:p w14:paraId="77FCA246" w14:textId="77777777" w:rsidR="005522C7" w:rsidRPr="00FC7B9F" w:rsidRDefault="005522C7" w:rsidP="005522C7">
      <w:pPr>
        <w:pStyle w:val="a3"/>
        <w:rPr>
          <w:lang w:val="pl-PL"/>
        </w:rPr>
      </w:pPr>
    </w:p>
    <w:p w14:paraId="45887A28" w14:textId="01CEEBBE" w:rsidR="0027235F" w:rsidRPr="00FC7B9F" w:rsidRDefault="00870D32" w:rsidP="00870D32">
      <w:pPr>
        <w:pStyle w:val="a3"/>
        <w:numPr>
          <w:ilvl w:val="0"/>
          <w:numId w:val="1"/>
        </w:numPr>
        <w:rPr>
          <w:lang w:val="pl-PL"/>
        </w:rPr>
      </w:pPr>
      <w:r w:rsidRPr="00FC7B9F">
        <w:rPr>
          <w:lang w:val="pl-PL"/>
        </w:rPr>
        <w:t>Harmonizacja podatków pośrednich</w:t>
      </w:r>
      <w:r w:rsidR="005522C7" w:rsidRPr="00FC7B9F">
        <w:rPr>
          <w:lang w:val="pl-PL"/>
        </w:rPr>
        <w:t xml:space="preserve"> (</w:t>
      </w:r>
      <w:r w:rsidR="00A50D86" w:rsidRPr="00FC7B9F">
        <w:rPr>
          <w:lang w:val="pl-PL"/>
        </w:rPr>
        <w:t xml:space="preserve">VAT, grupy towarów zwolnione z </w:t>
      </w:r>
      <w:proofErr w:type="spellStart"/>
      <w:r w:rsidR="00A50D86" w:rsidRPr="00FC7B9F">
        <w:rPr>
          <w:lang w:val="pl-PL"/>
        </w:rPr>
        <w:t>VATu</w:t>
      </w:r>
      <w:proofErr w:type="spellEnd"/>
      <w:r w:rsidR="00A50D86" w:rsidRPr="00FC7B9F">
        <w:rPr>
          <w:lang w:val="pl-PL"/>
        </w:rPr>
        <w:t xml:space="preserve">, </w:t>
      </w:r>
      <w:r w:rsidR="00FC7B9F" w:rsidRPr="00FC7B9F">
        <w:rPr>
          <w:lang w:val="pl-PL"/>
        </w:rPr>
        <w:t xml:space="preserve">stawka zredukowana i stawka podstawowa, </w:t>
      </w:r>
      <w:r w:rsidR="00A50D86" w:rsidRPr="00FC7B9F">
        <w:rPr>
          <w:lang w:val="pl-PL"/>
        </w:rPr>
        <w:t>zasada kraju przeznaczenia i pochodzenia, podatek akcyzowy, stawki podatków w różnych krajach</w:t>
      </w:r>
      <w:r w:rsidR="00FC7B9F" w:rsidRPr="00FC7B9F">
        <w:rPr>
          <w:lang w:val="pl-PL"/>
        </w:rPr>
        <w:t xml:space="preserve"> UE</w:t>
      </w:r>
      <w:r w:rsidR="005522C7" w:rsidRPr="00FC7B9F">
        <w:rPr>
          <w:lang w:val="pl-PL"/>
        </w:rPr>
        <w:t>)</w:t>
      </w:r>
    </w:p>
    <w:p w14:paraId="1FC32461" w14:textId="6719197B" w:rsidR="00870D32" w:rsidRPr="00FC7B9F" w:rsidRDefault="00870D32" w:rsidP="00870D32">
      <w:pPr>
        <w:pStyle w:val="a3"/>
        <w:numPr>
          <w:ilvl w:val="0"/>
          <w:numId w:val="1"/>
        </w:numPr>
        <w:rPr>
          <w:lang w:val="pl-PL"/>
        </w:rPr>
      </w:pPr>
      <w:r w:rsidRPr="00FC7B9F">
        <w:rPr>
          <w:lang w:val="pl-PL"/>
        </w:rPr>
        <w:t>Zasady zakupów publicznych w UE</w:t>
      </w:r>
      <w:r w:rsidR="005522C7" w:rsidRPr="00FC7B9F">
        <w:rPr>
          <w:lang w:val="pl-PL"/>
        </w:rPr>
        <w:t xml:space="preserve"> (</w:t>
      </w:r>
      <w:r w:rsidR="00FC7B9F">
        <w:rPr>
          <w:lang w:val="pl-PL"/>
        </w:rPr>
        <w:t>definicja zamówienia publicznego, procedura udzielania zamówień publicznych, E-</w:t>
      </w:r>
      <w:proofErr w:type="spellStart"/>
      <w:r w:rsidR="00FC7B9F">
        <w:rPr>
          <w:lang w:val="pl-PL"/>
        </w:rPr>
        <w:t>Certis</w:t>
      </w:r>
      <w:proofErr w:type="spellEnd"/>
      <w:r w:rsidR="005522C7" w:rsidRPr="00FC7B9F">
        <w:rPr>
          <w:lang w:val="pl-PL"/>
        </w:rPr>
        <w:t>)</w:t>
      </w:r>
    </w:p>
    <w:p w14:paraId="1C575A88" w14:textId="3EAF9657" w:rsidR="00870D32" w:rsidRPr="00FC7B9F" w:rsidRDefault="00870D32" w:rsidP="00870D32">
      <w:pPr>
        <w:pStyle w:val="a3"/>
        <w:numPr>
          <w:ilvl w:val="0"/>
          <w:numId w:val="1"/>
        </w:numPr>
        <w:rPr>
          <w:lang w:val="pl-PL"/>
        </w:rPr>
      </w:pPr>
      <w:r w:rsidRPr="00FC7B9F">
        <w:rPr>
          <w:lang w:val="pl-PL"/>
        </w:rPr>
        <w:t>Standardy europejskie</w:t>
      </w:r>
      <w:r w:rsidR="005522C7" w:rsidRPr="00FC7B9F">
        <w:rPr>
          <w:lang w:val="pl-PL"/>
        </w:rPr>
        <w:t xml:space="preserve"> (</w:t>
      </w:r>
      <w:r w:rsidR="00F2412B">
        <w:rPr>
          <w:lang w:val="pl-PL"/>
        </w:rPr>
        <w:t xml:space="preserve">pojęcie standard, </w:t>
      </w:r>
      <w:r w:rsidR="00FC7B9F" w:rsidRPr="00FC7B9F">
        <w:rPr>
          <w:lang w:val="pl-PL"/>
        </w:rPr>
        <w:t>ocena zgodności ze standardem</w:t>
      </w:r>
      <w:r w:rsidR="001A4FCE" w:rsidRPr="00FC7B9F">
        <w:rPr>
          <w:lang w:val="pl-PL"/>
        </w:rPr>
        <w:t>)</w:t>
      </w:r>
    </w:p>
    <w:p w14:paraId="5E38DD36" w14:textId="77777777" w:rsidR="00C45F81" w:rsidRDefault="00C45F81" w:rsidP="00C45F81"/>
    <w:p w14:paraId="7E3C297F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>Literatura podstawowa:</w:t>
      </w:r>
    </w:p>
    <w:p w14:paraId="6510E206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>1. J. Borowiec, Ekonomia Integracji Europejskiej, Wrocław 2011</w:t>
      </w:r>
    </w:p>
    <w:p w14:paraId="53BBE7CE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 xml:space="preserve">2. W. </w:t>
      </w:r>
      <w:proofErr w:type="spellStart"/>
      <w:r w:rsidRPr="00AD66A8">
        <w:rPr>
          <w:rFonts w:ascii="Times New Roman" w:hAnsi="Times New Roman" w:cs="Times New Roman"/>
          <w:lang w:val="pl-PL"/>
        </w:rPr>
        <w:t>Molle</w:t>
      </w:r>
      <w:proofErr w:type="spellEnd"/>
      <w:r w:rsidRPr="00AD66A8">
        <w:rPr>
          <w:rFonts w:ascii="Times New Roman" w:hAnsi="Times New Roman" w:cs="Times New Roman"/>
          <w:lang w:val="pl-PL"/>
        </w:rPr>
        <w:t>, Ekonomika integracji europejskiej, Teoria, praktyka, polityka, Gdańsk 1995</w:t>
      </w:r>
    </w:p>
    <w:p w14:paraId="6AB8ABB1" w14:textId="77777777" w:rsidR="005522C7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>3. J. Kundera</w:t>
      </w:r>
      <w:r>
        <w:rPr>
          <w:rFonts w:ascii="Times New Roman" w:hAnsi="Times New Roman" w:cs="Times New Roman"/>
          <w:lang w:val="pl-PL"/>
        </w:rPr>
        <w:t>,</w:t>
      </w:r>
      <w:r w:rsidRPr="00AD66A8">
        <w:rPr>
          <w:rFonts w:ascii="Times New Roman" w:hAnsi="Times New Roman" w:cs="Times New Roman"/>
          <w:lang w:val="pl-PL"/>
        </w:rPr>
        <w:t xml:space="preserve"> Poland in the </w:t>
      </w:r>
      <w:proofErr w:type="spellStart"/>
      <w:r w:rsidRPr="00AD66A8">
        <w:rPr>
          <w:rFonts w:ascii="Times New Roman" w:hAnsi="Times New Roman" w:cs="Times New Roman"/>
          <w:lang w:val="pl-PL"/>
        </w:rPr>
        <w:t>European</w:t>
      </w:r>
      <w:proofErr w:type="spellEnd"/>
      <w:r w:rsidRPr="00AD66A8">
        <w:rPr>
          <w:rFonts w:ascii="Times New Roman" w:hAnsi="Times New Roman" w:cs="Times New Roman"/>
          <w:lang w:val="pl-PL"/>
        </w:rPr>
        <w:t xml:space="preserve"> Single Market, Wrocław, 2010 </w:t>
      </w:r>
    </w:p>
    <w:p w14:paraId="08250B03" w14:textId="0A6E765E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J. Kundera, Poland in the proces of </w:t>
      </w:r>
      <w:proofErr w:type="spellStart"/>
      <w:r>
        <w:rPr>
          <w:rFonts w:ascii="Times New Roman" w:hAnsi="Times New Roman" w:cs="Times New Roman"/>
          <w:lang w:val="pl-PL"/>
        </w:rPr>
        <w:t>European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Economic</w:t>
      </w:r>
      <w:proofErr w:type="spellEnd"/>
      <w:r>
        <w:rPr>
          <w:rFonts w:ascii="Times New Roman" w:hAnsi="Times New Roman" w:cs="Times New Roman"/>
          <w:lang w:val="pl-PL"/>
        </w:rPr>
        <w:t xml:space="preserve"> Integration, Warszawa, 2013</w:t>
      </w:r>
    </w:p>
    <w:p w14:paraId="10241BAE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</w:p>
    <w:p w14:paraId="54468E6B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>Literatura uzupełniająca:</w:t>
      </w:r>
    </w:p>
    <w:p w14:paraId="31D27F28" w14:textId="77777777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 xml:space="preserve">1. J. </w:t>
      </w:r>
      <w:proofErr w:type="spellStart"/>
      <w:r w:rsidRPr="00AD66A8">
        <w:rPr>
          <w:rFonts w:ascii="Times New Roman" w:hAnsi="Times New Roman" w:cs="Times New Roman"/>
          <w:lang w:val="pl-PL"/>
        </w:rPr>
        <w:t>Piszewski</w:t>
      </w:r>
      <w:proofErr w:type="spellEnd"/>
      <w:r w:rsidRPr="00AD66A8">
        <w:rPr>
          <w:rFonts w:ascii="Times New Roman" w:hAnsi="Times New Roman" w:cs="Times New Roman"/>
          <w:lang w:val="pl-PL"/>
        </w:rPr>
        <w:t>, Ekonomika integracji europejskiej, Kraków</w:t>
      </w:r>
      <w:r>
        <w:rPr>
          <w:rFonts w:ascii="Times New Roman" w:hAnsi="Times New Roman" w:cs="Times New Roman"/>
          <w:lang w:val="pl-PL"/>
        </w:rPr>
        <w:t>,</w:t>
      </w:r>
      <w:r w:rsidRPr="00AD66A8">
        <w:rPr>
          <w:rFonts w:ascii="Times New Roman" w:hAnsi="Times New Roman" w:cs="Times New Roman"/>
          <w:lang w:val="pl-PL"/>
        </w:rPr>
        <w:t xml:space="preserve"> 2011</w:t>
      </w:r>
    </w:p>
    <w:p w14:paraId="7364E4AA" w14:textId="77777777" w:rsidR="005522C7" w:rsidRDefault="005522C7" w:rsidP="005522C7">
      <w:pPr>
        <w:rPr>
          <w:rFonts w:ascii="Times New Roman" w:hAnsi="Times New Roman" w:cs="Times New Roman"/>
          <w:lang w:val="pl-PL"/>
        </w:rPr>
      </w:pPr>
      <w:r w:rsidRPr="00AD66A8">
        <w:rPr>
          <w:rFonts w:ascii="Times New Roman" w:hAnsi="Times New Roman" w:cs="Times New Roman"/>
          <w:lang w:val="pl-PL"/>
        </w:rPr>
        <w:t>2. J. Kundera, Jednolity Rynek Europejski, Kraków</w:t>
      </w:r>
      <w:r>
        <w:rPr>
          <w:rFonts w:ascii="Times New Roman" w:hAnsi="Times New Roman" w:cs="Times New Roman"/>
          <w:lang w:val="pl-PL"/>
        </w:rPr>
        <w:t>,</w:t>
      </w:r>
      <w:r w:rsidRPr="00AD66A8">
        <w:rPr>
          <w:rFonts w:ascii="Times New Roman" w:hAnsi="Times New Roman" w:cs="Times New Roman"/>
          <w:lang w:val="pl-PL"/>
        </w:rPr>
        <w:t xml:space="preserve"> 2003</w:t>
      </w:r>
    </w:p>
    <w:p w14:paraId="00A54460" w14:textId="77777777" w:rsidR="005522C7" w:rsidRDefault="005522C7" w:rsidP="005522C7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J. Barcz, Integracja Europejska, Warszawa, 2007</w:t>
      </w:r>
    </w:p>
    <w:p w14:paraId="4ABFA36E" w14:textId="770EF65E" w:rsidR="005522C7" w:rsidRPr="00AD66A8" w:rsidRDefault="005522C7" w:rsidP="005522C7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4.</w:t>
      </w:r>
      <w:r w:rsidRPr="005522C7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A. Kuś, Prawo Unii Europejskiej z uwzględnieniem Traktatu z Lizbony, Lublin, 2010</w:t>
      </w:r>
    </w:p>
    <w:p w14:paraId="5F3CB8AB" w14:textId="77777777" w:rsidR="005522C7" w:rsidRPr="00AD66A8" w:rsidRDefault="005522C7" w:rsidP="005522C7">
      <w:pPr>
        <w:rPr>
          <w:rFonts w:ascii="Times New Roman" w:hAnsi="Times New Roman" w:cs="Times New Roman"/>
        </w:rPr>
      </w:pPr>
    </w:p>
    <w:p w14:paraId="7644084F" w14:textId="77777777" w:rsidR="00C45F81" w:rsidRDefault="00C45F81" w:rsidP="00C45F81"/>
    <w:sectPr w:rsidR="00C45F81" w:rsidSect="006C1B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743"/>
    <w:multiLevelType w:val="hybridMultilevel"/>
    <w:tmpl w:val="2EBC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2"/>
    <w:rsid w:val="001A4FCE"/>
    <w:rsid w:val="001E61BF"/>
    <w:rsid w:val="0027235F"/>
    <w:rsid w:val="0054133B"/>
    <w:rsid w:val="005522C7"/>
    <w:rsid w:val="006C1B34"/>
    <w:rsid w:val="00870D32"/>
    <w:rsid w:val="008E5936"/>
    <w:rsid w:val="00A50D86"/>
    <w:rsid w:val="00B95AA8"/>
    <w:rsid w:val="00C45F81"/>
    <w:rsid w:val="00F2412B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AAF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Бутитер</dc:creator>
  <cp:keywords/>
  <dc:description/>
  <cp:lastModifiedBy>Данило Бутитер</cp:lastModifiedBy>
  <cp:revision>7</cp:revision>
  <dcterms:created xsi:type="dcterms:W3CDTF">2013-09-22T16:50:00Z</dcterms:created>
  <dcterms:modified xsi:type="dcterms:W3CDTF">2014-12-08T13:24:00Z</dcterms:modified>
</cp:coreProperties>
</file>