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B3" w:rsidRDefault="00D978B3" w:rsidP="00D978B3">
      <w:pPr>
        <w:pStyle w:val="Default"/>
      </w:pPr>
    </w:p>
    <w:p w:rsidR="00D978B3" w:rsidRDefault="00D978B3" w:rsidP="00D978B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Zagadnienia na kolokwium zaplanowane na dzień</w:t>
      </w:r>
      <w:r>
        <w:rPr>
          <w:sz w:val="23"/>
          <w:szCs w:val="23"/>
        </w:rPr>
        <w:t xml:space="preserve"> 2</w:t>
      </w:r>
      <w:r>
        <w:rPr>
          <w:sz w:val="23"/>
          <w:szCs w:val="23"/>
        </w:rPr>
        <w:t xml:space="preserve">3.04.2021 r. </w:t>
      </w:r>
      <w:r>
        <w:rPr>
          <w:sz w:val="23"/>
          <w:szCs w:val="23"/>
        </w:rPr>
        <w:t>(godz. 11.30h)</w:t>
      </w:r>
    </w:p>
    <w:p w:rsidR="00D978B3" w:rsidRDefault="00D978B3" w:rsidP="00D978B3">
      <w:pPr>
        <w:pStyle w:val="Default"/>
        <w:spacing w:after="46"/>
        <w:rPr>
          <w:sz w:val="23"/>
          <w:szCs w:val="23"/>
        </w:rPr>
      </w:pPr>
    </w:p>
    <w:p w:rsidR="00D978B3" w:rsidRDefault="00D978B3" w:rsidP="00D978B3">
      <w:pPr>
        <w:pStyle w:val="Default"/>
        <w:spacing w:after="46"/>
        <w:rPr>
          <w:sz w:val="23"/>
          <w:szCs w:val="23"/>
        </w:rPr>
      </w:pPr>
    </w:p>
    <w:p w:rsidR="00D978B3" w:rsidRDefault="00D978B3" w:rsidP="00D978B3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1. Koncesja i zezwolenie jako decyzje administracyjne uprawniające do wykonywania działalności gospodarczej. </w:t>
      </w:r>
    </w:p>
    <w:p w:rsidR="00D978B3" w:rsidRDefault="00D978B3" w:rsidP="00D978B3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2. Istota prawna działalności gospodarczej regulowanej. </w:t>
      </w:r>
    </w:p>
    <w:p w:rsidR="00D978B3" w:rsidRDefault="00D978B3" w:rsidP="00D978B3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3. Kontrola działalności gospodarczej i jej ograniczenia. </w:t>
      </w:r>
    </w:p>
    <w:p w:rsidR="00D978B3" w:rsidRDefault="00D978B3" w:rsidP="00D978B3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4. Prywatyzacja pośrednia (pojęcie i przebieg procesu). Pojęcie prywatyzacji bezpośredniej </w:t>
      </w:r>
    </w:p>
    <w:p w:rsidR="00D978B3" w:rsidRDefault="00D978B3" w:rsidP="00D978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Policja gospodarcza (na przykł</w:t>
      </w:r>
      <w:r w:rsidR="008A6184">
        <w:rPr>
          <w:sz w:val="23"/>
          <w:szCs w:val="23"/>
        </w:rPr>
        <w:t>adzie</w:t>
      </w:r>
      <w:r>
        <w:rPr>
          <w:sz w:val="23"/>
          <w:szCs w:val="23"/>
        </w:rPr>
        <w:t xml:space="preserve"> policji sanitarnej) a reglamentacja gospodarcza </w:t>
      </w:r>
    </w:p>
    <w:p w:rsidR="00851AB1" w:rsidRDefault="00851AB1" w:rsidP="00F14F69">
      <w:bookmarkStart w:id="0" w:name="_GoBack"/>
      <w:bookmarkEnd w:id="0"/>
    </w:p>
    <w:sectPr w:rsidR="00851AB1" w:rsidSect="00F500DD">
      <w:pgSz w:w="11905" w:h="17340"/>
      <w:pgMar w:top="1872" w:right="1104" w:bottom="1417" w:left="12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69"/>
    <w:rsid w:val="00851AB1"/>
    <w:rsid w:val="008A6184"/>
    <w:rsid w:val="00D978B3"/>
    <w:rsid w:val="00F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721C0-07CF-49BD-84B9-E2C4A152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7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2022-04-04T20:33:00Z</dcterms:created>
  <dcterms:modified xsi:type="dcterms:W3CDTF">2022-04-04T21:50:00Z</dcterms:modified>
</cp:coreProperties>
</file>