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B" w:rsidRDefault="0026493E" w:rsidP="0026493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6"/>
          <w:u w:val="single"/>
        </w:rPr>
        <w:t>LIST ŻELAZNY</w:t>
      </w:r>
      <w:r w:rsidR="00D350A7">
        <w:rPr>
          <w:rFonts w:ascii="Times New Roman" w:hAnsi="Times New Roman" w:cs="Times New Roman"/>
          <w:b/>
          <w:sz w:val="36"/>
          <w:u w:val="single"/>
        </w:rPr>
        <w:t xml:space="preserve"> i </w:t>
      </w:r>
      <w:r w:rsidR="00D350A7" w:rsidRPr="005E0F0E">
        <w:rPr>
          <w:rFonts w:ascii="Times New Roman" w:hAnsi="Times New Roman" w:cs="Times New Roman"/>
          <w:b/>
          <w:i/>
          <w:sz w:val="36"/>
          <w:u w:val="single"/>
        </w:rPr>
        <w:t>quasi</w:t>
      </w:r>
      <w:r w:rsidR="00D350A7">
        <w:rPr>
          <w:rFonts w:ascii="Times New Roman" w:hAnsi="Times New Roman" w:cs="Times New Roman"/>
          <w:b/>
          <w:sz w:val="36"/>
          <w:u w:val="single"/>
        </w:rPr>
        <w:t>-list żelazny</w:t>
      </w:r>
    </w:p>
    <w:bookmarkEnd w:id="0"/>
    <w:p w:rsidR="0026493E" w:rsidRDefault="0026493E" w:rsidP="0026493E">
      <w:pPr>
        <w:rPr>
          <w:rFonts w:ascii="Times New Roman" w:hAnsi="Times New Roman" w:cs="Times New Roman"/>
          <w:sz w:val="24"/>
        </w:rPr>
      </w:pPr>
    </w:p>
    <w:p w:rsidR="0026493E" w:rsidRDefault="004872E2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żelazny, to według profesora Waltosia „swoista umowa miedzy właściwym miejscowo sądem okręgowym, a oskarżonym przebywającym za granicą”</w:t>
      </w:r>
      <w:r w:rsidR="00D767D2">
        <w:rPr>
          <w:rFonts w:ascii="Times New Roman" w:hAnsi="Times New Roman" w:cs="Times New Roman"/>
          <w:sz w:val="24"/>
        </w:rPr>
        <w:t>, w której oskarżony oświadcza, że stawi się do sądu lub prokuratora w oznaczonym terminie, pod warunkiem odpowiadania z wolnej stopy</w:t>
      </w:r>
      <w:r w:rsidR="0052137F">
        <w:rPr>
          <w:rFonts w:ascii="Times New Roman" w:hAnsi="Times New Roman" w:cs="Times New Roman"/>
          <w:sz w:val="24"/>
        </w:rPr>
        <w:t>, czyli pozostając na wolności</w:t>
      </w:r>
      <w:r w:rsidR="00D767D2">
        <w:rPr>
          <w:rFonts w:ascii="Times New Roman" w:hAnsi="Times New Roman" w:cs="Times New Roman"/>
          <w:sz w:val="24"/>
        </w:rPr>
        <w:t xml:space="preserve"> (art. 281 kpk).  </w:t>
      </w:r>
      <w:r w:rsidR="009B5A6F">
        <w:rPr>
          <w:rFonts w:ascii="Times New Roman" w:hAnsi="Times New Roman" w:cs="Times New Roman"/>
          <w:sz w:val="24"/>
        </w:rPr>
        <w:t>Nie jest to pierwsza instytucja prawna, która udzielała gwarancji nietykalności osobistej na potrzeby procesu karnego. Jak słusznie wskazuje sędzia Dariusz Drajewicz, już w II w. p.n.e. przywilej nietykalności na czas postępowania był przyznawany podczas rzyms</w:t>
      </w:r>
      <w:r w:rsidR="00256982">
        <w:rPr>
          <w:rFonts w:ascii="Times New Roman" w:hAnsi="Times New Roman" w:cs="Times New Roman"/>
          <w:sz w:val="24"/>
        </w:rPr>
        <w:t>kiego procesu o korupcję w czasie</w:t>
      </w:r>
      <w:r w:rsidR="009B5A6F">
        <w:rPr>
          <w:rFonts w:ascii="Times New Roman" w:hAnsi="Times New Roman" w:cs="Times New Roman"/>
          <w:sz w:val="24"/>
        </w:rPr>
        <w:t xml:space="preserve"> wojny jugurtyńskiej. </w:t>
      </w:r>
    </w:p>
    <w:p w:rsidR="003C7C76" w:rsidRDefault="003C1E56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Oczywiście użyte, przy definiowaniu listu żelaznego słowo „umowa” jest stosowane tylko w przenośni. Nikt nie daje mu typowej formy umowy, jego istnienia zależy od dwóch oświadczeń: pisemnego złożonego przez oskarżonego, który świadczy o jego gotowości do stawienia się do sądu lub prokuratora oraz oświadczenia procesowego sądu okręgowego, właśnie w postaci listu żelaznego, który w treści zapewnia oskarżonego o przebywaniu na wolności aż do prawomocnego ukończenia postępowania, pod warunkiem, iż sam oskarżony: bez pozwolenia </w:t>
      </w:r>
      <w:r w:rsidR="0027669C">
        <w:rPr>
          <w:rFonts w:ascii="Times New Roman" w:hAnsi="Times New Roman" w:cs="Times New Roman"/>
          <w:sz w:val="24"/>
        </w:rPr>
        <w:t>sądu</w:t>
      </w:r>
      <w:r w:rsidR="00A732A0">
        <w:rPr>
          <w:rFonts w:ascii="Times New Roman" w:hAnsi="Times New Roman" w:cs="Times New Roman"/>
          <w:sz w:val="24"/>
        </w:rPr>
        <w:t xml:space="preserve"> </w:t>
      </w:r>
      <w:r w:rsidR="0027669C">
        <w:rPr>
          <w:rFonts w:ascii="Times New Roman" w:hAnsi="Times New Roman" w:cs="Times New Roman"/>
          <w:sz w:val="24"/>
        </w:rPr>
        <w:t xml:space="preserve"> nie będzie zmieniał</w:t>
      </w:r>
      <w:r>
        <w:rPr>
          <w:rFonts w:ascii="Times New Roman" w:hAnsi="Times New Roman" w:cs="Times New Roman"/>
          <w:sz w:val="24"/>
        </w:rPr>
        <w:t xml:space="preserve"> obranego miejsca pobytu w kraju, będzie się stawiał w oznaczonym terminie na wezwanie sądu</w:t>
      </w:r>
      <w:r w:rsidR="00A732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lub prokuratora oraz nie będzie nakłaniał do </w:t>
      </w:r>
      <w:r w:rsidR="00A732A0">
        <w:rPr>
          <w:rFonts w:ascii="Times New Roman" w:hAnsi="Times New Roman" w:cs="Times New Roman"/>
          <w:sz w:val="24"/>
        </w:rPr>
        <w:t>składania</w:t>
      </w:r>
      <w:r w:rsidR="005406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fałszywych zeznań </w:t>
      </w:r>
      <w:r w:rsidR="00540647">
        <w:rPr>
          <w:rFonts w:ascii="Times New Roman" w:hAnsi="Times New Roman" w:cs="Times New Roman"/>
          <w:sz w:val="24"/>
        </w:rPr>
        <w:t xml:space="preserve">lub wyjaśnień lub w inny sposób starał się utrudniać postępowanie karne (art.282 § 1 kpk). Od oskarżonego zależy, czy akceptuje przytoczone warunki i przyjedzie z zagranicy w celu wzięcia udziału w procesie. </w:t>
      </w:r>
    </w:p>
    <w:p w:rsidR="0052137F" w:rsidRDefault="00540647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Warto zaznaczyć, że użyte w kodeksie słowa „stawi się </w:t>
      </w:r>
      <w:r w:rsidR="00256982">
        <w:rPr>
          <w:rFonts w:ascii="Times New Roman" w:hAnsi="Times New Roman" w:cs="Times New Roman"/>
          <w:sz w:val="24"/>
        </w:rPr>
        <w:t>(…) do prokuratora” (art.281 oraz</w:t>
      </w:r>
      <w:r>
        <w:rPr>
          <w:rFonts w:ascii="Times New Roman" w:hAnsi="Times New Roman" w:cs="Times New Roman"/>
          <w:sz w:val="24"/>
        </w:rPr>
        <w:t xml:space="preserve"> 282 § 1 kpk) świadczą o tym, że list </w:t>
      </w:r>
      <w:r w:rsidR="00D9641F">
        <w:rPr>
          <w:rFonts w:ascii="Times New Roman" w:hAnsi="Times New Roman" w:cs="Times New Roman"/>
          <w:sz w:val="24"/>
        </w:rPr>
        <w:t xml:space="preserve">żelazny można wydać również w </w:t>
      </w:r>
      <w:r w:rsidR="00D9641F" w:rsidRPr="000E3420">
        <w:rPr>
          <w:rFonts w:ascii="Times New Roman" w:hAnsi="Times New Roman" w:cs="Times New Roman"/>
          <w:sz w:val="24"/>
          <w:u w:val="single"/>
        </w:rPr>
        <w:t>toku postępowania przygotowawczego</w:t>
      </w:r>
      <w:r w:rsidR="0052137F">
        <w:rPr>
          <w:rFonts w:ascii="Times New Roman" w:hAnsi="Times New Roman" w:cs="Times New Roman"/>
          <w:sz w:val="24"/>
        </w:rPr>
        <w:t>: w śledztwie (art.309 i następne kpk) jak i w dochodzeniu (art.325a i następne kpk).  Wydanie listu żelaznego może również nastąpić w toku czynności w niezbędnym zakresie (art.308 kpk), jeszcze przed wsz</w:t>
      </w:r>
      <w:r w:rsidR="00256982">
        <w:rPr>
          <w:rFonts w:ascii="Times New Roman" w:hAnsi="Times New Roman" w:cs="Times New Roman"/>
          <w:sz w:val="24"/>
        </w:rPr>
        <w:t>cz</w:t>
      </w:r>
      <w:r w:rsidR="0052137F">
        <w:rPr>
          <w:rFonts w:ascii="Times New Roman" w:hAnsi="Times New Roman" w:cs="Times New Roman"/>
          <w:sz w:val="24"/>
        </w:rPr>
        <w:t xml:space="preserve">ęciem postępowania przygotowawczego. </w:t>
      </w:r>
    </w:p>
    <w:p w:rsidR="000E3420" w:rsidRDefault="000E3420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Pr="000E3420">
        <w:rPr>
          <w:rFonts w:ascii="Times New Roman" w:hAnsi="Times New Roman" w:cs="Times New Roman"/>
          <w:sz w:val="24"/>
          <w:u w:val="single"/>
        </w:rPr>
        <w:t>postępowaniu sądowym</w:t>
      </w:r>
      <w:r>
        <w:rPr>
          <w:rFonts w:ascii="Times New Roman" w:hAnsi="Times New Roman" w:cs="Times New Roman"/>
          <w:sz w:val="24"/>
        </w:rPr>
        <w:t xml:space="preserve"> </w:t>
      </w:r>
      <w:r w:rsidR="001428A2">
        <w:rPr>
          <w:rFonts w:ascii="Times New Roman" w:hAnsi="Times New Roman" w:cs="Times New Roman"/>
          <w:sz w:val="24"/>
        </w:rPr>
        <w:t xml:space="preserve">udzielenie listu żelaznego jest możliwe przed sądami rejonowymi, okręgowymi jako pierwszej instancji, apelacyjnymi jak i zażaleniowymi przed sądami apelacyjnym i okręgowym. Może być również wydany przed Sądem Najwyższym – Izbą Wojskową (art.655 § 1 pkt 1 kpk). </w:t>
      </w:r>
      <w:r w:rsidR="000C43EB">
        <w:rPr>
          <w:rFonts w:ascii="Times New Roman" w:hAnsi="Times New Roman" w:cs="Times New Roman"/>
          <w:sz w:val="24"/>
        </w:rPr>
        <w:t>W związku z tym, że w art. 282 § 1 kpk użyto określenia „zapewnia osk</w:t>
      </w:r>
      <w:r w:rsidR="00256982">
        <w:rPr>
          <w:rFonts w:ascii="Times New Roman" w:hAnsi="Times New Roman" w:cs="Times New Roman"/>
          <w:sz w:val="24"/>
        </w:rPr>
        <w:t>arżonemu pozostawanie na wolnośc</w:t>
      </w:r>
      <w:r w:rsidR="000C43EB">
        <w:rPr>
          <w:rFonts w:ascii="Times New Roman" w:hAnsi="Times New Roman" w:cs="Times New Roman"/>
          <w:sz w:val="24"/>
        </w:rPr>
        <w:t xml:space="preserve">i”, list żelazny nie ma zastosowania w postępowaniu kasacyjnym, dotyczącym wznowienia postępowania, w sprawach o podjęcie postępowania warunkowo umorzonego,  o ułaskawienie i o wyrok łączny. </w:t>
      </w:r>
      <w:r w:rsidR="007E7F23">
        <w:rPr>
          <w:rFonts w:ascii="Times New Roman" w:hAnsi="Times New Roman" w:cs="Times New Roman"/>
          <w:sz w:val="24"/>
        </w:rPr>
        <w:t>Ma</w:t>
      </w:r>
      <w:r w:rsidR="00A732A0">
        <w:rPr>
          <w:rFonts w:ascii="Times New Roman" w:hAnsi="Times New Roman" w:cs="Times New Roman"/>
          <w:sz w:val="24"/>
        </w:rPr>
        <w:t xml:space="preserve"> za to </w:t>
      </w:r>
      <w:r w:rsidR="007E7F23">
        <w:rPr>
          <w:rFonts w:ascii="Times New Roman" w:hAnsi="Times New Roman" w:cs="Times New Roman"/>
          <w:sz w:val="24"/>
        </w:rPr>
        <w:t xml:space="preserve"> również zastosowanie w przepisach karnoskarbowych. </w:t>
      </w:r>
    </w:p>
    <w:p w:rsidR="00540647" w:rsidRDefault="00A732A0" w:rsidP="00212AD8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Zgodnie z tym, co</w:t>
      </w:r>
      <w:r w:rsidR="00D9641F">
        <w:rPr>
          <w:rFonts w:ascii="Times New Roman" w:hAnsi="Times New Roman" w:cs="Times New Roman"/>
          <w:sz w:val="24"/>
        </w:rPr>
        <w:t xml:space="preserve"> orzekł Sąd Okręgowy </w:t>
      </w:r>
      <w:r w:rsidR="0027669C">
        <w:rPr>
          <w:rFonts w:ascii="Times New Roman" w:hAnsi="Times New Roman" w:cs="Times New Roman"/>
          <w:sz w:val="24"/>
        </w:rPr>
        <w:t>w Tarnowie w wyroku z dnia 28 stycznia 2014 (II Ko 298/13)  instytucja listu żelaznego nie ma</w:t>
      </w:r>
      <w:r>
        <w:rPr>
          <w:rFonts w:ascii="Times New Roman" w:hAnsi="Times New Roman" w:cs="Times New Roman"/>
          <w:sz w:val="24"/>
        </w:rPr>
        <w:t xml:space="preserve"> </w:t>
      </w:r>
      <w:r w:rsidR="0027669C">
        <w:rPr>
          <w:rFonts w:ascii="Times New Roman" w:hAnsi="Times New Roman" w:cs="Times New Roman"/>
          <w:sz w:val="24"/>
        </w:rPr>
        <w:t xml:space="preserve"> zastosowania do postępowania wykonawczego. Mimo iż, stosownie do art. 1 § 2 kw w kwestiach nieuregulowanych w tym kodeksie, stosuje się odpowiednio przepisy  kodeksu postępowania karnego</w:t>
      </w:r>
      <w:r w:rsidR="0027669C" w:rsidRPr="0027669C">
        <w:rPr>
          <w:rFonts w:ascii="Times New Roman" w:hAnsi="Times New Roman" w:cs="Times New Roman"/>
          <w:i/>
          <w:sz w:val="24"/>
        </w:rPr>
        <w:t xml:space="preserve">,” instytucja listu </w:t>
      </w:r>
      <w:r w:rsidR="0027669C" w:rsidRPr="0027669C">
        <w:rPr>
          <w:rFonts w:ascii="Times New Roman" w:hAnsi="Times New Roman" w:cs="Times New Roman"/>
          <w:i/>
          <w:sz w:val="24"/>
        </w:rPr>
        <w:lastRenderedPageBreak/>
        <w:t xml:space="preserve">żelaznego nie ma zastosowania </w:t>
      </w:r>
      <w:r w:rsidR="0027669C">
        <w:rPr>
          <w:rFonts w:ascii="Times New Roman" w:hAnsi="Times New Roman" w:cs="Times New Roman"/>
          <w:i/>
          <w:sz w:val="24"/>
        </w:rPr>
        <w:t>w postępowaniu wykonawczym z uwagi</w:t>
      </w:r>
      <w:r w:rsidR="0027669C" w:rsidRPr="0027669C">
        <w:rPr>
          <w:rFonts w:ascii="Times New Roman" w:hAnsi="Times New Roman" w:cs="Times New Roman"/>
          <w:i/>
          <w:sz w:val="24"/>
        </w:rPr>
        <w:t xml:space="preserve"> na swoją specyfikę”</w:t>
      </w:r>
      <w:r w:rsidR="0027669C">
        <w:rPr>
          <w:rFonts w:ascii="Times New Roman" w:hAnsi="Times New Roman" w:cs="Times New Roman"/>
          <w:sz w:val="24"/>
        </w:rPr>
        <w:t xml:space="preserve">. </w:t>
      </w:r>
      <w:r w:rsidR="008B703F">
        <w:rPr>
          <w:rFonts w:ascii="Times New Roman" w:hAnsi="Times New Roman" w:cs="Times New Roman"/>
          <w:sz w:val="24"/>
        </w:rPr>
        <w:t xml:space="preserve">Jej charakter stanowi wprost, że ma zastosowanie w postępowaniu przygotowawczym i rozpoznawczym – </w:t>
      </w:r>
      <w:r w:rsidR="00256982">
        <w:rPr>
          <w:rFonts w:ascii="Times New Roman" w:hAnsi="Times New Roman" w:cs="Times New Roman"/>
          <w:sz w:val="24"/>
        </w:rPr>
        <w:t xml:space="preserve">ze względu na </w:t>
      </w:r>
      <w:r w:rsidR="008B703F">
        <w:rPr>
          <w:rFonts w:ascii="Times New Roman" w:hAnsi="Times New Roman" w:cs="Times New Roman"/>
          <w:sz w:val="24"/>
        </w:rPr>
        <w:t xml:space="preserve">użyte określenia „z wolnej stopy”, „aż do uprawomocnienia się postępowania”, tymczasem w postępowaniu wykonawczym </w:t>
      </w:r>
      <w:r w:rsidR="008B703F" w:rsidRPr="008B703F">
        <w:rPr>
          <w:rFonts w:ascii="Times New Roman" w:hAnsi="Times New Roman" w:cs="Times New Roman"/>
          <w:i/>
          <w:sz w:val="24"/>
        </w:rPr>
        <w:t>„mamy do czynienia z orzeczeniem, które należy bezzwłocznie wykonać.”</w:t>
      </w:r>
    </w:p>
    <w:p w:rsidR="00D464B4" w:rsidRDefault="00D464B4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Art.282 i następne kpk nie mają też zastoso</w:t>
      </w:r>
      <w:r w:rsidR="00F113CC">
        <w:rPr>
          <w:rFonts w:ascii="Times New Roman" w:hAnsi="Times New Roman" w:cs="Times New Roman"/>
          <w:sz w:val="24"/>
        </w:rPr>
        <w:t>wania w spr</w:t>
      </w:r>
      <w:r w:rsidR="00ED561A">
        <w:rPr>
          <w:rFonts w:ascii="Times New Roman" w:hAnsi="Times New Roman" w:cs="Times New Roman"/>
          <w:sz w:val="24"/>
        </w:rPr>
        <w:t>awach o wykroczenia, w myśl art.</w:t>
      </w:r>
      <w:r w:rsidR="00A732A0">
        <w:rPr>
          <w:rFonts w:ascii="Times New Roman" w:hAnsi="Times New Roman" w:cs="Times New Roman"/>
          <w:sz w:val="24"/>
        </w:rPr>
        <w:t xml:space="preserve">1 § 2 kpw, który stanowi o tym, </w:t>
      </w:r>
      <w:r w:rsidR="00ED561A">
        <w:rPr>
          <w:rFonts w:ascii="Times New Roman" w:hAnsi="Times New Roman" w:cs="Times New Roman"/>
          <w:sz w:val="24"/>
        </w:rPr>
        <w:t xml:space="preserve">że w postępowaniu sprawach o wykroczenia stosuje się tylko wyraźnie powołane przepisy kodeksu postępowania karnego. </w:t>
      </w:r>
    </w:p>
    <w:p w:rsidR="00754BE5" w:rsidRPr="00D464B4" w:rsidRDefault="00256982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doktryny uważa list żelazny</w:t>
      </w:r>
      <w:r w:rsidR="004018C1">
        <w:rPr>
          <w:rFonts w:ascii="Times New Roman" w:hAnsi="Times New Roman" w:cs="Times New Roman"/>
          <w:sz w:val="24"/>
        </w:rPr>
        <w:t xml:space="preserve"> za</w:t>
      </w:r>
      <w:r>
        <w:rPr>
          <w:rFonts w:ascii="Times New Roman" w:hAnsi="Times New Roman" w:cs="Times New Roman"/>
          <w:sz w:val="24"/>
        </w:rPr>
        <w:t xml:space="preserve"> jeden ze środków zapobiegawczych, ponieważ</w:t>
      </w:r>
      <w:r w:rsidR="004018C1">
        <w:rPr>
          <w:rFonts w:ascii="Times New Roman" w:hAnsi="Times New Roman" w:cs="Times New Roman"/>
          <w:sz w:val="24"/>
        </w:rPr>
        <w:t xml:space="preserve"> mają </w:t>
      </w:r>
      <w:r>
        <w:rPr>
          <w:rFonts w:ascii="Times New Roman" w:hAnsi="Times New Roman" w:cs="Times New Roman"/>
          <w:sz w:val="24"/>
        </w:rPr>
        <w:t xml:space="preserve">one </w:t>
      </w:r>
      <w:r w:rsidR="004018C1">
        <w:rPr>
          <w:rFonts w:ascii="Times New Roman" w:hAnsi="Times New Roman" w:cs="Times New Roman"/>
          <w:sz w:val="24"/>
        </w:rPr>
        <w:t>na celu nieutrudnianie procesu karnego oraz zapewnienie obecności oskarżonego</w:t>
      </w:r>
      <w:r>
        <w:rPr>
          <w:rFonts w:ascii="Times New Roman" w:hAnsi="Times New Roman" w:cs="Times New Roman"/>
          <w:sz w:val="24"/>
        </w:rPr>
        <w:t>, tak samo jak list</w:t>
      </w:r>
      <w:r w:rsidR="004018C1">
        <w:rPr>
          <w:rFonts w:ascii="Times New Roman" w:hAnsi="Times New Roman" w:cs="Times New Roman"/>
          <w:sz w:val="24"/>
        </w:rPr>
        <w:t>. Jednak w</w:t>
      </w:r>
      <w:r w:rsidR="00754BE5">
        <w:rPr>
          <w:rFonts w:ascii="Times New Roman" w:hAnsi="Times New Roman" w:cs="Times New Roman"/>
          <w:sz w:val="24"/>
        </w:rPr>
        <w:t>ykładnia systemowa wskazuje na to, że list żelazny to środek przymusu</w:t>
      </w:r>
      <w:r w:rsidR="004018C1">
        <w:rPr>
          <w:rFonts w:ascii="Times New Roman" w:hAnsi="Times New Roman" w:cs="Times New Roman"/>
          <w:sz w:val="24"/>
        </w:rPr>
        <w:t>(rozdział o liście żelaznym znajduje się w dziale VI dotyczącym środków przymusu)</w:t>
      </w:r>
      <w:r w:rsidR="00754BE5">
        <w:rPr>
          <w:rFonts w:ascii="Times New Roman" w:hAnsi="Times New Roman" w:cs="Times New Roman"/>
          <w:sz w:val="24"/>
        </w:rPr>
        <w:t>, który pozwala zapewnić sądowi obecność oskarżonego podczas procesu. Ma on za zadanie wymuszenie określonych zachowań (art.</w:t>
      </w:r>
      <w:r w:rsidR="00887345">
        <w:rPr>
          <w:rFonts w:ascii="Times New Roman" w:hAnsi="Times New Roman" w:cs="Times New Roman"/>
          <w:sz w:val="24"/>
        </w:rPr>
        <w:t>282§1 kpk)</w:t>
      </w:r>
      <w:r w:rsidR="00754BE5">
        <w:rPr>
          <w:rFonts w:ascii="Times New Roman" w:hAnsi="Times New Roman" w:cs="Times New Roman"/>
          <w:sz w:val="24"/>
        </w:rPr>
        <w:t xml:space="preserve"> </w:t>
      </w:r>
      <w:r w:rsidR="00887345">
        <w:rPr>
          <w:rFonts w:ascii="Times New Roman" w:hAnsi="Times New Roman" w:cs="Times New Roman"/>
          <w:sz w:val="24"/>
        </w:rPr>
        <w:t xml:space="preserve">, ich niespełnienie grozi tymczasowym aresztowaniem.  </w:t>
      </w:r>
      <w:r w:rsidR="004018C1">
        <w:rPr>
          <w:rFonts w:ascii="Times New Roman" w:hAnsi="Times New Roman" w:cs="Times New Roman"/>
          <w:sz w:val="24"/>
        </w:rPr>
        <w:t xml:space="preserve">Uważa tak również Sąd Najwyższy w postanowieniu z dnia 10 lutego 2011 roku (WZ 5/11), który w stwierdził, iż Okręgowy Sąd Wojskowy niesłusznie  pouczeniu o zażaleniu powołał się na art.252§1 kpk, który dotyczy zażalenia w przedmiocie środka zapobiegawczego. </w:t>
      </w:r>
      <w:r w:rsidR="00C63499">
        <w:rPr>
          <w:rFonts w:ascii="Times New Roman" w:hAnsi="Times New Roman" w:cs="Times New Roman"/>
          <w:sz w:val="24"/>
        </w:rPr>
        <w:t xml:space="preserve">Od 2014 </w:t>
      </w:r>
      <w:r w:rsidR="00DD1DCB">
        <w:rPr>
          <w:rFonts w:ascii="Times New Roman" w:hAnsi="Times New Roman" w:cs="Times New Roman"/>
          <w:sz w:val="24"/>
        </w:rPr>
        <w:t>roku (Dz. U.  z 2014 r. poz.85)</w:t>
      </w:r>
      <w:r w:rsidR="00C63499">
        <w:rPr>
          <w:rFonts w:ascii="Times New Roman" w:hAnsi="Times New Roman" w:cs="Times New Roman"/>
          <w:sz w:val="24"/>
        </w:rPr>
        <w:t xml:space="preserve">, jak stanowi o tym art.284 §2 kpk, na postanowienie o odmowie wydania listu żelaznego oraz na postanowienia </w:t>
      </w:r>
      <w:r w:rsidR="00C47E39">
        <w:rPr>
          <w:rFonts w:ascii="Times New Roman" w:hAnsi="Times New Roman" w:cs="Times New Roman"/>
          <w:sz w:val="24"/>
        </w:rPr>
        <w:t>o odwołaniu listu żelaznego (art.282§2 kpk ) oraz orzeczenie o przepadku  lub ściągnięciu wartości poręczeń majątkowych, przysługuje zażalenie.</w:t>
      </w:r>
    </w:p>
    <w:p w:rsidR="005466F2" w:rsidRDefault="00462F6B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Podmiotem uprawnionym do złożenia oświadczenia o wydanie listu żelaznego, oprócz oskarżonego, którym jest osoba przeciwko której wniesiono oskarżenie do sądu, jak i osoba co do której prokurator złożył wniosek o warunkowe umorzenie postępowania (art. 71 § 2 kpk), w myśl art. 71§3 jest także podejrzany, czyli osoba co do której wydano postanowienie o przedstawieniu zarzutów albo co do której postawiono zarzut w związku z przystąpieniem do przesłucha</w:t>
      </w:r>
      <w:r w:rsidR="002A699C">
        <w:rPr>
          <w:rFonts w:ascii="Times New Roman" w:hAnsi="Times New Roman" w:cs="Times New Roman"/>
          <w:sz w:val="24"/>
        </w:rPr>
        <w:t xml:space="preserve">nia w charakterze podejrzanego (art.71 §1 kpk). </w:t>
      </w:r>
    </w:p>
    <w:p w:rsidR="00D14576" w:rsidRPr="00374B88" w:rsidRDefault="006F6A39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Wydanie listu żelaznego </w:t>
      </w:r>
      <w:r w:rsidR="009A5C5E">
        <w:rPr>
          <w:rFonts w:ascii="Times New Roman" w:hAnsi="Times New Roman" w:cs="Times New Roman"/>
          <w:sz w:val="24"/>
        </w:rPr>
        <w:t xml:space="preserve">gwarantuje pozostanie na wolności aż do prawomocnego ukończenia postępowania. Oznacza to, </w:t>
      </w:r>
      <w:r w:rsidR="001B0F1D">
        <w:rPr>
          <w:rFonts w:ascii="Times New Roman" w:hAnsi="Times New Roman" w:cs="Times New Roman"/>
          <w:sz w:val="24"/>
        </w:rPr>
        <w:t>ż</w:t>
      </w:r>
      <w:r w:rsidR="009A5C5E">
        <w:rPr>
          <w:rFonts w:ascii="Times New Roman" w:hAnsi="Times New Roman" w:cs="Times New Roman"/>
          <w:sz w:val="24"/>
        </w:rPr>
        <w:t xml:space="preserve">e po wydaniu listu żelaznego nie jest dozwolone pozbawienie wolności w jakiejkolwiek formie, zarówno tymczasowego aresztowania, czy umieszczenia w zakładzie w celu obserwacji, jak i zatrzymania. </w:t>
      </w:r>
      <w:r w:rsidR="00966833">
        <w:rPr>
          <w:rFonts w:ascii="Times New Roman" w:hAnsi="Times New Roman" w:cs="Times New Roman"/>
          <w:sz w:val="24"/>
        </w:rPr>
        <w:t>W związku z tym, że ustawodawca w art.281 nie precyzuje, iż zakaz zatrzymania dotyczy tylko sprawy w związku z którą został</w:t>
      </w:r>
      <w:r w:rsidR="001C4560">
        <w:rPr>
          <w:rFonts w:ascii="Times New Roman" w:hAnsi="Times New Roman" w:cs="Times New Roman"/>
          <w:sz w:val="24"/>
        </w:rPr>
        <w:t xml:space="preserve"> wydany list żelazny, część doktryny uznaje</w:t>
      </w:r>
      <w:r w:rsidR="00966833">
        <w:rPr>
          <w:rFonts w:ascii="Times New Roman" w:hAnsi="Times New Roman" w:cs="Times New Roman"/>
          <w:sz w:val="24"/>
        </w:rPr>
        <w:t xml:space="preserve">, że przywilej pozostawania na wolności związany z listem dotyczy też </w:t>
      </w:r>
      <w:r w:rsidR="001C4560">
        <w:rPr>
          <w:rFonts w:ascii="Times New Roman" w:hAnsi="Times New Roman" w:cs="Times New Roman"/>
          <w:sz w:val="24"/>
        </w:rPr>
        <w:t xml:space="preserve">innych postępowań. Przeciwne zapatrywanie w tej sprawie </w:t>
      </w:r>
      <w:r w:rsidR="00A40EE2">
        <w:rPr>
          <w:rFonts w:ascii="Times New Roman" w:hAnsi="Times New Roman" w:cs="Times New Roman"/>
          <w:sz w:val="24"/>
        </w:rPr>
        <w:t>wyraził jednak w postanowieni</w:t>
      </w:r>
      <w:r w:rsidR="001C4560">
        <w:rPr>
          <w:rFonts w:ascii="Times New Roman" w:hAnsi="Times New Roman" w:cs="Times New Roman"/>
          <w:sz w:val="24"/>
        </w:rPr>
        <w:t>u z dnia 29 lipca 2009 roku Sąd Najwyższy</w:t>
      </w:r>
      <w:r w:rsidR="00A40EE2">
        <w:rPr>
          <w:rFonts w:ascii="Times New Roman" w:hAnsi="Times New Roman" w:cs="Times New Roman"/>
          <w:sz w:val="24"/>
        </w:rPr>
        <w:t xml:space="preserve">( I KZP 11/09), który stwierdził </w:t>
      </w:r>
      <w:r w:rsidR="003753A4">
        <w:rPr>
          <w:rFonts w:ascii="Times New Roman" w:hAnsi="Times New Roman" w:cs="Times New Roman"/>
          <w:sz w:val="24"/>
        </w:rPr>
        <w:t xml:space="preserve">, że zagwarantowanie oskarżonemu wolności określone w art.281§1 kpk odnosi się </w:t>
      </w:r>
      <w:r w:rsidR="003753A4" w:rsidRPr="003753A4">
        <w:rPr>
          <w:rFonts w:ascii="Times New Roman" w:hAnsi="Times New Roman" w:cs="Times New Roman"/>
          <w:sz w:val="24"/>
          <w:u w:val="single"/>
        </w:rPr>
        <w:t>jedynie do postępowania</w:t>
      </w:r>
      <w:r w:rsidR="003753A4">
        <w:rPr>
          <w:rFonts w:ascii="Times New Roman" w:hAnsi="Times New Roman" w:cs="Times New Roman"/>
          <w:sz w:val="24"/>
        </w:rPr>
        <w:t xml:space="preserve"> w związku z którym wydano list żelazny. SN rozważając daną sprawę oparł się na opiniach doktryny, między innymi na K.</w:t>
      </w:r>
      <w:r w:rsidR="001B0F1D">
        <w:rPr>
          <w:rFonts w:ascii="Times New Roman" w:hAnsi="Times New Roman" w:cs="Times New Roman"/>
          <w:sz w:val="24"/>
        </w:rPr>
        <w:t xml:space="preserve"> </w:t>
      </w:r>
      <w:r w:rsidR="003753A4">
        <w:rPr>
          <w:rFonts w:ascii="Times New Roman" w:hAnsi="Times New Roman" w:cs="Times New Roman"/>
          <w:sz w:val="24"/>
        </w:rPr>
        <w:t>Stock</w:t>
      </w:r>
      <w:r w:rsidR="00D201A0">
        <w:rPr>
          <w:rFonts w:ascii="Times New Roman" w:hAnsi="Times New Roman" w:cs="Times New Roman"/>
          <w:sz w:val="24"/>
        </w:rPr>
        <w:t>iej (</w:t>
      </w:r>
      <w:r w:rsidR="00D201A0" w:rsidRPr="00D201A0">
        <w:rPr>
          <w:rFonts w:ascii="Times New Roman" w:hAnsi="Times New Roman" w:cs="Times New Roman"/>
          <w:i/>
          <w:sz w:val="24"/>
        </w:rPr>
        <w:t>„Charakter prawny listu żelaznego, podstawy jego wydania oraz tryby postępowania”)</w:t>
      </w:r>
      <w:r w:rsidR="00D201A0">
        <w:rPr>
          <w:rFonts w:ascii="Times New Roman" w:hAnsi="Times New Roman" w:cs="Times New Roman"/>
          <w:i/>
          <w:sz w:val="24"/>
        </w:rPr>
        <w:t xml:space="preserve">, </w:t>
      </w:r>
      <w:r w:rsidR="00D201A0" w:rsidRPr="00D201A0">
        <w:rPr>
          <w:rFonts w:ascii="Times New Roman" w:hAnsi="Times New Roman" w:cs="Times New Roman"/>
          <w:sz w:val="24"/>
        </w:rPr>
        <w:t>która stwierdziła, że</w:t>
      </w:r>
      <w:r w:rsidR="00D201A0" w:rsidRPr="00D201A0">
        <w:rPr>
          <w:rFonts w:ascii="Times New Roman" w:hAnsi="Times New Roman" w:cs="Times New Roman"/>
          <w:i/>
          <w:sz w:val="24"/>
        </w:rPr>
        <w:t xml:space="preserve">: </w:t>
      </w:r>
      <w:r w:rsidR="00D201A0" w:rsidRPr="00D201A0">
        <w:rPr>
          <w:rFonts w:ascii="Times New Roman" w:hAnsi="Times New Roman" w:cs="Times New Roman"/>
          <w:i/>
          <w:sz w:val="24"/>
          <w:szCs w:val="24"/>
        </w:rPr>
        <w:t xml:space="preserve">„Ograniczenie w zakresie pozbawienia wolności oskarżonego odnosi się jedynie do postępowania, w związku z którym wydano list żelazny. List ten nie gwarantuje </w:t>
      </w:r>
      <w:r w:rsidR="00D201A0" w:rsidRPr="00D201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niestosowania tymczasowego aresztowania za </w:t>
      </w:r>
      <w:r w:rsidR="00D201A0" w:rsidRPr="00D24F9A">
        <w:rPr>
          <w:rFonts w:ascii="Times New Roman" w:hAnsi="Times New Roman" w:cs="Times New Roman"/>
          <w:i/>
          <w:sz w:val="24"/>
          <w:szCs w:val="24"/>
          <w:u w:val="single"/>
        </w:rPr>
        <w:t>przyszłe</w:t>
      </w:r>
      <w:r w:rsidR="00D201A0" w:rsidRPr="00D201A0">
        <w:rPr>
          <w:rFonts w:ascii="Times New Roman" w:hAnsi="Times New Roman" w:cs="Times New Roman"/>
          <w:i/>
          <w:sz w:val="24"/>
          <w:szCs w:val="24"/>
        </w:rPr>
        <w:t xml:space="preserve"> zdarzenia przestępcze”</w:t>
      </w:r>
      <w:r w:rsidR="00D201A0">
        <w:rPr>
          <w:i/>
        </w:rPr>
        <w:t>.</w:t>
      </w:r>
      <w:r w:rsidR="008B628C">
        <w:rPr>
          <w:i/>
        </w:rPr>
        <w:t xml:space="preserve"> </w:t>
      </w:r>
      <w:r w:rsidR="007A4A51">
        <w:rPr>
          <w:i/>
          <w:sz w:val="24"/>
          <w:szCs w:val="24"/>
        </w:rPr>
        <w:t xml:space="preserve"> </w:t>
      </w:r>
      <w:r w:rsidR="00D24F9A">
        <w:rPr>
          <w:rFonts w:ascii="Times New Roman" w:hAnsi="Times New Roman" w:cs="Times New Roman"/>
          <w:sz w:val="24"/>
          <w:szCs w:val="24"/>
        </w:rPr>
        <w:t>Z kolei Hofmański, Sadzik, Zgryzek w Komentarzu do Kodeksu Postępowania karnego, stwierdzili, iż: „</w:t>
      </w:r>
      <w:r w:rsidR="00D24F9A" w:rsidRPr="00D24F9A">
        <w:rPr>
          <w:rFonts w:ascii="Times New Roman" w:hAnsi="Times New Roman" w:cs="Times New Roman"/>
          <w:i/>
          <w:sz w:val="24"/>
        </w:rPr>
        <w:t xml:space="preserve">Nie jest złamaniem warunków listu żelaznego zatrzymanie lub zastosowanie tymczasowego aresztowania w innej sprawie prowadzonej z powodu przestępstwa popełnionego tak </w:t>
      </w:r>
      <w:r w:rsidR="00D24F9A" w:rsidRPr="00D24F9A">
        <w:rPr>
          <w:rFonts w:ascii="Times New Roman" w:hAnsi="Times New Roman" w:cs="Times New Roman"/>
          <w:i/>
          <w:sz w:val="24"/>
          <w:u w:val="single"/>
        </w:rPr>
        <w:t>przed</w:t>
      </w:r>
      <w:r w:rsidR="00D24F9A" w:rsidRPr="00D24F9A">
        <w:rPr>
          <w:rFonts w:ascii="Times New Roman" w:hAnsi="Times New Roman" w:cs="Times New Roman"/>
          <w:i/>
          <w:sz w:val="24"/>
        </w:rPr>
        <w:t xml:space="preserve"> przyjazdem do Polski, jak i </w:t>
      </w:r>
      <w:r w:rsidR="00D24F9A" w:rsidRPr="00D24F9A">
        <w:rPr>
          <w:rFonts w:ascii="Times New Roman" w:hAnsi="Times New Roman" w:cs="Times New Roman"/>
          <w:i/>
          <w:sz w:val="24"/>
          <w:u w:val="single"/>
        </w:rPr>
        <w:t>po</w:t>
      </w:r>
      <w:r w:rsidR="00D24F9A" w:rsidRPr="00D24F9A">
        <w:rPr>
          <w:rFonts w:ascii="Times New Roman" w:hAnsi="Times New Roman" w:cs="Times New Roman"/>
          <w:i/>
          <w:sz w:val="24"/>
        </w:rPr>
        <w:t xml:space="preserve"> przekroczeniu granicy</w:t>
      </w:r>
      <w:r w:rsidR="00D24F9A">
        <w:rPr>
          <w:rFonts w:ascii="Times New Roman" w:hAnsi="Times New Roman" w:cs="Times New Roman"/>
          <w:i/>
          <w:sz w:val="24"/>
        </w:rPr>
        <w:t xml:space="preserve">”. </w:t>
      </w:r>
      <w:r w:rsidR="00D24F9A" w:rsidRPr="00D24F9A">
        <w:rPr>
          <w:rFonts w:ascii="Times New Roman" w:hAnsi="Times New Roman" w:cs="Times New Roman"/>
          <w:sz w:val="24"/>
        </w:rPr>
        <w:t xml:space="preserve">Podobnie jak autorzy komentarza wypowiedział się również R.A. Stefański, który poparł zapatrywanie, iż oskarżony z przywilejem listu żelaznego może zostać aresztowany za inne przestępstwo, ale popełnione </w:t>
      </w:r>
      <w:r w:rsidR="00D24F9A" w:rsidRPr="00D24F9A">
        <w:rPr>
          <w:rFonts w:ascii="Times New Roman" w:hAnsi="Times New Roman" w:cs="Times New Roman"/>
          <w:sz w:val="24"/>
          <w:u w:val="single"/>
        </w:rPr>
        <w:t>przed przyjazdem do Polski</w:t>
      </w:r>
      <w:r w:rsidR="00DD1DCB">
        <w:rPr>
          <w:rFonts w:ascii="Times New Roman" w:hAnsi="Times New Roman" w:cs="Times New Roman"/>
          <w:sz w:val="24"/>
        </w:rPr>
        <w:t>. S</w:t>
      </w:r>
      <w:r w:rsidR="00831DA3">
        <w:rPr>
          <w:rFonts w:ascii="Times New Roman" w:hAnsi="Times New Roman" w:cs="Times New Roman"/>
          <w:sz w:val="24"/>
        </w:rPr>
        <w:t xml:space="preserve">twierdził on również, że organ, który wydał list żelazny nie może zapewnić oskarżonemu odpowiadania z wolnej stopy w innym postępowaniu, o którym nie wie. </w:t>
      </w:r>
      <w:r w:rsidR="008413C3">
        <w:rPr>
          <w:rFonts w:ascii="Times New Roman" w:hAnsi="Times New Roman" w:cs="Times New Roman"/>
          <w:sz w:val="24"/>
        </w:rPr>
        <w:t>Nie zgadza się z tym D. Drajewicz argumentując, że gdyby ustawodawca chciał ograniczyć gwarancję ni</w:t>
      </w:r>
      <w:r w:rsidR="00374B88">
        <w:rPr>
          <w:rFonts w:ascii="Times New Roman" w:hAnsi="Times New Roman" w:cs="Times New Roman"/>
          <w:sz w:val="24"/>
        </w:rPr>
        <w:t>e</w:t>
      </w:r>
      <w:r w:rsidR="008413C3">
        <w:rPr>
          <w:rFonts w:ascii="Times New Roman" w:hAnsi="Times New Roman" w:cs="Times New Roman"/>
          <w:sz w:val="24"/>
        </w:rPr>
        <w:t>tykalności tylko do określonego postępowania, to tak by postanowił. Na poparcie swojej tezy zacytował kodeks postępowania niemieckiego(§295 ust.2) oraz austriackiego(§197 ust.4) , które stanowią</w:t>
      </w:r>
      <w:r w:rsidR="00D14576">
        <w:rPr>
          <w:rFonts w:ascii="Times New Roman" w:hAnsi="Times New Roman" w:cs="Times New Roman"/>
          <w:sz w:val="24"/>
        </w:rPr>
        <w:t xml:space="preserve">, że list żelazny zapewnia pozostanie na wolności, jednak tylko ze względu na czyn karalny, w związku z którym został wydany. </w:t>
      </w:r>
      <w:r w:rsidR="00374B88">
        <w:rPr>
          <w:rFonts w:ascii="Times New Roman" w:hAnsi="Times New Roman" w:cs="Times New Roman"/>
          <w:sz w:val="24"/>
        </w:rPr>
        <w:t xml:space="preserve"> Ponadto zgodnie z dyrektywą </w:t>
      </w:r>
      <w:r w:rsidR="00374B88">
        <w:rPr>
          <w:rFonts w:ascii="Times New Roman" w:hAnsi="Times New Roman" w:cs="Times New Roman"/>
          <w:i/>
          <w:sz w:val="24"/>
        </w:rPr>
        <w:t xml:space="preserve">In dubio pro libertate </w:t>
      </w:r>
      <w:r w:rsidR="00374B88">
        <w:rPr>
          <w:rFonts w:ascii="Times New Roman" w:hAnsi="Times New Roman" w:cs="Times New Roman"/>
          <w:sz w:val="24"/>
        </w:rPr>
        <w:t xml:space="preserve">uważa, że milczenie prawodawcy co do zakresu przywileju może być interpretowane tylko rozszerzająco w stosunku do praw i wolności oskarżonego. </w:t>
      </w:r>
    </w:p>
    <w:p w:rsidR="00966833" w:rsidRDefault="001C4560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Nietykalność trwa tak długo, jak długo trwa dane postępowanie karne, w związku z którym udzielono ochrony w formie listu. Wygasa wraz z prawomocnym zakończeniem postępowania lub odwołaniem listu żelaznego. </w:t>
      </w:r>
      <w:r w:rsidR="00966833">
        <w:rPr>
          <w:rFonts w:ascii="Times New Roman" w:hAnsi="Times New Roman" w:cs="Times New Roman"/>
          <w:sz w:val="24"/>
        </w:rPr>
        <w:t xml:space="preserve">Niestawiennictwo oskarżonego na wezwanie prokuratora lub sądu, czyli złamanie przez oskarżonego warunku listu żelaznego określonego w art.282 §1pkt1 skutkuje odwołaniem listu żelaznego(art.282 §2 kpk). </w:t>
      </w:r>
    </w:p>
    <w:p w:rsidR="00D350A7" w:rsidRDefault="003164C3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żelazny ma również wpływ na realizację zasad karnoprocesowych. </w:t>
      </w:r>
      <w:r w:rsidR="00FB6027">
        <w:rPr>
          <w:rFonts w:ascii="Times New Roman" w:hAnsi="Times New Roman" w:cs="Times New Roman"/>
          <w:sz w:val="24"/>
        </w:rPr>
        <w:t>Oskarżony, korzystając z przywileju nietykalności, może skutecznie podejmować się obrony przed niesprawiedliwym orzeczeniem, które naruszałoby zasadę trafnej represji karnej.  Realizuje również zasadę legalności, ponieważ poprzez wydanie listu żelaznego</w:t>
      </w:r>
      <w:r w:rsidR="00C10C5A">
        <w:rPr>
          <w:rFonts w:ascii="Times New Roman" w:hAnsi="Times New Roman" w:cs="Times New Roman"/>
          <w:sz w:val="24"/>
        </w:rPr>
        <w:t xml:space="preserve">, oskarżony nie może już uniknąć odpowiedzialności, chociażby przez przedawnienie. </w:t>
      </w:r>
      <w:r w:rsidR="001B5B63">
        <w:rPr>
          <w:rFonts w:ascii="Times New Roman" w:hAnsi="Times New Roman" w:cs="Times New Roman"/>
          <w:sz w:val="24"/>
        </w:rPr>
        <w:t>Obecność oskarżonego zwiększa prawdopodobieństwo podejmowania decyzji, których podstawę stanowią prawdziwe ustalenia faktyczne, przez co pozwala na realizację zasady prawdy. Pozwala również na spełnienie warunków zasady bezpośredniości</w:t>
      </w:r>
      <w:r w:rsidR="00EB55E7">
        <w:rPr>
          <w:rFonts w:ascii="Times New Roman" w:hAnsi="Times New Roman" w:cs="Times New Roman"/>
          <w:sz w:val="24"/>
        </w:rPr>
        <w:t xml:space="preserve">, przez to, że sąd powinien zetknąć się bezpośrednio z dowodami, do których należą również wyjaśnienia oskarżonego (art.175 i następne). Oprócz twego pozwala samemu oskarżonemu, na dostęp do wszystkich dowodów, na podstawie których sędzia będzie opierał swoje ustalenia faktyczne. W związku z tym, że zasada bezpośredniości polega na maksymalnym zbliżeniu organu orzekającego do badanych faktów, przesłuchanie oskarżonego, który stawił się przed sąd w wyniku wydania listu żelaznego, daje największe szanse na </w:t>
      </w:r>
      <w:r w:rsidR="003C6B70">
        <w:rPr>
          <w:rFonts w:ascii="Times New Roman" w:hAnsi="Times New Roman" w:cs="Times New Roman"/>
          <w:sz w:val="24"/>
        </w:rPr>
        <w:t>dojście do prawdziwych ustaleń poprzez wielu źródeł dowodowych, które mogą w końcu prowadzić do deformacji informacji oraz możliwoś</w:t>
      </w:r>
      <w:r w:rsidR="00DD1DCB">
        <w:rPr>
          <w:rFonts w:ascii="Times New Roman" w:hAnsi="Times New Roman" w:cs="Times New Roman"/>
          <w:sz w:val="24"/>
        </w:rPr>
        <w:t>ć</w:t>
      </w:r>
      <w:r w:rsidR="003C6B70">
        <w:rPr>
          <w:rFonts w:ascii="Times New Roman" w:hAnsi="Times New Roman" w:cs="Times New Roman"/>
          <w:sz w:val="24"/>
        </w:rPr>
        <w:t xml:space="preserve"> wpływu oskarżonego na prowadzone postępowanie dowodowe. </w:t>
      </w:r>
    </w:p>
    <w:p w:rsidR="003C6B70" w:rsidRDefault="003C6B70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żelazny pozwala również na koncentrację materiału dowodowego</w:t>
      </w:r>
      <w:r w:rsidR="00C63499">
        <w:rPr>
          <w:rFonts w:ascii="Times New Roman" w:hAnsi="Times New Roman" w:cs="Times New Roman"/>
          <w:sz w:val="24"/>
        </w:rPr>
        <w:t>. Nieobecność oskarżonego z uwagi na obawę utraty wolności</w:t>
      </w:r>
      <w:r w:rsidR="00B96D76">
        <w:rPr>
          <w:rFonts w:ascii="Times New Roman" w:hAnsi="Times New Roman" w:cs="Times New Roman"/>
          <w:sz w:val="24"/>
        </w:rPr>
        <w:t xml:space="preserve"> może uniemożliwić rozpoczęcie rozprawy lub zakończenie rozprawy w przypadku </w:t>
      </w:r>
      <w:r w:rsidR="001B0F1D">
        <w:rPr>
          <w:rFonts w:ascii="Times New Roman" w:hAnsi="Times New Roman" w:cs="Times New Roman"/>
          <w:sz w:val="24"/>
        </w:rPr>
        <w:t xml:space="preserve"> </w:t>
      </w:r>
      <w:r w:rsidR="00B96D76">
        <w:rPr>
          <w:rFonts w:ascii="Times New Roman" w:hAnsi="Times New Roman" w:cs="Times New Roman"/>
          <w:sz w:val="24"/>
        </w:rPr>
        <w:t xml:space="preserve">kiedy brak istotnych informacji będących w posiadaniu jedynie oskarżonego. Jednak </w:t>
      </w:r>
      <w:r w:rsidR="001B0F1D">
        <w:rPr>
          <w:rFonts w:ascii="Times New Roman" w:hAnsi="Times New Roman" w:cs="Times New Roman"/>
          <w:sz w:val="24"/>
        </w:rPr>
        <w:t>obecność oskarżonego, w wyniku  wydania</w:t>
      </w:r>
      <w:r w:rsidR="00B96D76">
        <w:rPr>
          <w:rFonts w:ascii="Times New Roman" w:hAnsi="Times New Roman" w:cs="Times New Roman"/>
          <w:sz w:val="24"/>
        </w:rPr>
        <w:t xml:space="preserve"> listu żelaznego, a </w:t>
      </w:r>
      <w:r w:rsidR="00B96D76">
        <w:rPr>
          <w:rFonts w:ascii="Times New Roman" w:hAnsi="Times New Roman" w:cs="Times New Roman"/>
          <w:sz w:val="24"/>
        </w:rPr>
        <w:lastRenderedPageBreak/>
        <w:t>więc tym samym zapewnienia mu nietykalności – może przyczynić się do  wydania rozstrzygnięcia w rozsądnym terminie i co więcej, bliższego prawdy</w:t>
      </w:r>
      <w:r w:rsidR="009849D6">
        <w:rPr>
          <w:rFonts w:ascii="Times New Roman" w:hAnsi="Times New Roman" w:cs="Times New Roman"/>
          <w:sz w:val="24"/>
        </w:rPr>
        <w:t>, ponieważ ustne wyjaśnienia oskarżonego stwarzają lepsze warunki do oceny ich wiarygodności</w:t>
      </w:r>
      <w:r w:rsidR="00B96D76">
        <w:rPr>
          <w:rFonts w:ascii="Times New Roman" w:hAnsi="Times New Roman" w:cs="Times New Roman"/>
          <w:sz w:val="24"/>
        </w:rPr>
        <w:t xml:space="preserve">. </w:t>
      </w:r>
      <w:r w:rsidR="00BC5DD5">
        <w:rPr>
          <w:rFonts w:ascii="Times New Roman" w:hAnsi="Times New Roman" w:cs="Times New Roman"/>
          <w:sz w:val="24"/>
        </w:rPr>
        <w:t xml:space="preserve">Poprzez bezpośrednią obecność oskarżonego przed organem sądowym, realizowana jest również zasada ustności, która odpowiada ekonomice procesu. </w:t>
      </w:r>
    </w:p>
    <w:p w:rsidR="009811A7" w:rsidRDefault="009811A7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Obecność oskarżonego </w:t>
      </w:r>
      <w:r w:rsidR="001B0F1D">
        <w:rPr>
          <w:rFonts w:ascii="Times New Roman" w:hAnsi="Times New Roman" w:cs="Times New Roman"/>
          <w:sz w:val="24"/>
        </w:rPr>
        <w:t>pozwala</w:t>
      </w:r>
      <w:r w:rsidR="00394552">
        <w:rPr>
          <w:rFonts w:ascii="Times New Roman" w:hAnsi="Times New Roman" w:cs="Times New Roman"/>
          <w:sz w:val="24"/>
        </w:rPr>
        <w:t xml:space="preserve"> na pełniejszą realizację zasady kontradyktoryjności między innymi poprzez możliwość pełnego wypowiedzenia się stron (a więc w tym oskarżonego) wyrażoną w art.</w:t>
      </w:r>
      <w:r w:rsidR="00D037FF">
        <w:rPr>
          <w:rFonts w:ascii="Times New Roman" w:hAnsi="Times New Roman" w:cs="Times New Roman"/>
          <w:sz w:val="24"/>
        </w:rPr>
        <w:t>367 kpk. Daje</w:t>
      </w:r>
      <w:r w:rsidR="00394552">
        <w:rPr>
          <w:rFonts w:ascii="Times New Roman" w:hAnsi="Times New Roman" w:cs="Times New Roman"/>
          <w:sz w:val="24"/>
        </w:rPr>
        <w:t xml:space="preserve"> również </w:t>
      </w:r>
      <w:r w:rsidR="00D037FF">
        <w:rPr>
          <w:rFonts w:ascii="Times New Roman" w:hAnsi="Times New Roman" w:cs="Times New Roman"/>
          <w:sz w:val="24"/>
        </w:rPr>
        <w:t>możliwość zrealizowania</w:t>
      </w:r>
      <w:r w:rsidR="00394552">
        <w:rPr>
          <w:rFonts w:ascii="Times New Roman" w:hAnsi="Times New Roman" w:cs="Times New Roman"/>
          <w:sz w:val="24"/>
        </w:rPr>
        <w:t xml:space="preserve"> </w:t>
      </w:r>
      <w:r w:rsidR="00D037FF">
        <w:rPr>
          <w:rFonts w:ascii="Times New Roman" w:hAnsi="Times New Roman" w:cs="Times New Roman"/>
          <w:sz w:val="24"/>
        </w:rPr>
        <w:t>określonych</w:t>
      </w:r>
      <w:r w:rsidR="00394552">
        <w:rPr>
          <w:rFonts w:ascii="Times New Roman" w:hAnsi="Times New Roman" w:cs="Times New Roman"/>
          <w:sz w:val="24"/>
        </w:rPr>
        <w:t xml:space="preserve"> a w art.386§2</w:t>
      </w:r>
      <w:r w:rsidR="008B3A3C">
        <w:rPr>
          <w:rFonts w:ascii="Times New Roman" w:hAnsi="Times New Roman" w:cs="Times New Roman"/>
          <w:sz w:val="24"/>
        </w:rPr>
        <w:t xml:space="preserve"> kpk </w:t>
      </w:r>
      <w:r w:rsidR="00394552">
        <w:rPr>
          <w:rFonts w:ascii="Times New Roman" w:hAnsi="Times New Roman" w:cs="Times New Roman"/>
          <w:sz w:val="24"/>
        </w:rPr>
        <w:t xml:space="preserve"> praw</w:t>
      </w:r>
      <w:r w:rsidR="00D037FF">
        <w:rPr>
          <w:rFonts w:ascii="Times New Roman" w:hAnsi="Times New Roman" w:cs="Times New Roman"/>
          <w:sz w:val="24"/>
        </w:rPr>
        <w:t>a</w:t>
      </w:r>
      <w:r w:rsidR="00394552">
        <w:rPr>
          <w:rFonts w:ascii="Times New Roman" w:hAnsi="Times New Roman" w:cs="Times New Roman"/>
          <w:sz w:val="24"/>
        </w:rPr>
        <w:t xml:space="preserve"> zadawania pytań przez oskarżonego osobom przesłuchiwanym. </w:t>
      </w:r>
      <w:r w:rsidR="00D23E03">
        <w:rPr>
          <w:rFonts w:ascii="Times New Roman" w:hAnsi="Times New Roman" w:cs="Times New Roman"/>
          <w:sz w:val="24"/>
        </w:rPr>
        <w:t xml:space="preserve">W skrócie: wydanie listu żelaznego pozwala oskarżonemu na aktywny udział w toczącym się sporze, co daje większą pewność w dotarciu do prawdy. </w:t>
      </w:r>
    </w:p>
    <w:p w:rsidR="00C26833" w:rsidRDefault="00C26833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Pomaga też w realizacji zasady równouprawnia stron. Jak stanowi art.281 kpk oskarżony występuje z wolnej stopy, a więc w takich samych warunkach jak oskarżyciel. Poprzez swoją obecność, oskarżony składając wyjaśnienia (art. </w:t>
      </w:r>
      <w:r w:rsidR="006044F7">
        <w:rPr>
          <w:rFonts w:ascii="Times New Roman" w:hAnsi="Times New Roman" w:cs="Times New Roman"/>
          <w:sz w:val="24"/>
        </w:rPr>
        <w:t xml:space="preserve">175§1 kpk) oraz będąc obecny przy czynnościach dowodowych realizuje zasadę prawa do obrony.  </w:t>
      </w:r>
    </w:p>
    <w:p w:rsidR="00BA0067" w:rsidRDefault="00BA0067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Dzięki temu, że poprzez instytucję prawną listu żelaznego może zostać zrealizowanych tyle zasad karnoprocesowych, dochodzi do urzeczywistnienia zasady rzetelności procesu, zwanej także zasadą uczci</w:t>
      </w:r>
      <w:r w:rsidR="00B009F3">
        <w:rPr>
          <w:rFonts w:ascii="Times New Roman" w:hAnsi="Times New Roman" w:cs="Times New Roman"/>
          <w:sz w:val="24"/>
        </w:rPr>
        <w:t xml:space="preserve">wości. Prawo do rzetelnego procesu jest gwarantem  realizacji zasady państwa prawnego, pozwala uniknąć arbitralności władzy i stwarza warunki sądom do obrony praw jednostki. </w:t>
      </w:r>
    </w:p>
    <w:p w:rsidR="00462F6B" w:rsidRDefault="00462F6B" w:rsidP="00212AD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466F2" w:rsidRPr="005466F2" w:rsidRDefault="005466F2" w:rsidP="00212A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6F2">
        <w:rPr>
          <w:rFonts w:ascii="Times New Roman" w:hAnsi="Times New Roman" w:cs="Times New Roman"/>
          <w:b/>
          <w:sz w:val="28"/>
          <w:szCs w:val="28"/>
          <w:u w:val="single"/>
        </w:rPr>
        <w:t>Quasi-list żelazny</w:t>
      </w:r>
    </w:p>
    <w:p w:rsidR="00A51E7E" w:rsidRDefault="00234521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Regulacja zawarta w rozdziale 30 KPK udziela nietykalności osobistej oskarżonemu. Nie jest to jednak jedyna osoba, której ustawodawca zapewnia nietykalność osobistą. </w:t>
      </w:r>
      <w:r w:rsidR="00DB0BE1">
        <w:rPr>
          <w:rFonts w:ascii="Times New Roman" w:hAnsi="Times New Roman" w:cs="Times New Roman"/>
          <w:sz w:val="24"/>
        </w:rPr>
        <w:t xml:space="preserve"> Jak stanowi art.589 kpk wezwany z zagranicy świadek lub biegły, nie będący obywatelem polskim, który stawi się dobrowolnie przed sądem nie może być ani ścigany, ani zatrzymany, ani tymczasowo aresztowany z powodu przestępstwa będącego przedmiotem danego postępowania karnego i jakiegokolwiek innego przestępstwa popełnionego przed przekroczeniem polskiej granicy państwowej. Nie może być też w stosunku do niego wykonana kara orzeczona za takie przestępstwo. </w:t>
      </w:r>
      <w:r w:rsidR="00CD4128">
        <w:rPr>
          <w:rFonts w:ascii="Times New Roman" w:hAnsi="Times New Roman" w:cs="Times New Roman"/>
          <w:sz w:val="24"/>
        </w:rPr>
        <w:t>Świadek lub biegły, jak stanowi §2 traci taką ochronę, jeśli nie opuści terenu Rzeczypospolitej Polskiej w terminie 7 dni od momentu, kiedy jego obecność, według sądu stała się zbędna</w:t>
      </w:r>
      <w:r w:rsidR="00257C6F">
        <w:rPr>
          <w:rFonts w:ascii="Times New Roman" w:hAnsi="Times New Roman" w:cs="Times New Roman"/>
          <w:sz w:val="24"/>
        </w:rPr>
        <w:t>(Europejska Konwencja o pomocy prawnej w sprawach karnych stanowi o 15 dniach, od momentu kiedy strony zostały oficjalnie poinformowane, że ich obecność nie jest już wymagana)</w:t>
      </w:r>
      <w:r w:rsidR="00CD4128">
        <w:rPr>
          <w:rFonts w:ascii="Times New Roman" w:hAnsi="Times New Roman" w:cs="Times New Roman"/>
          <w:sz w:val="24"/>
        </w:rPr>
        <w:t xml:space="preserve">. </w:t>
      </w:r>
      <w:r w:rsidR="00A51E7E">
        <w:rPr>
          <w:rFonts w:ascii="Times New Roman" w:hAnsi="Times New Roman" w:cs="Times New Roman"/>
          <w:sz w:val="24"/>
        </w:rPr>
        <w:t xml:space="preserve"> Mimo, iż §1 stano</w:t>
      </w:r>
      <w:r w:rsidR="009F5D29">
        <w:rPr>
          <w:rFonts w:ascii="Times New Roman" w:hAnsi="Times New Roman" w:cs="Times New Roman"/>
          <w:sz w:val="24"/>
        </w:rPr>
        <w:t>wi</w:t>
      </w:r>
      <w:r w:rsidR="00A51E7E">
        <w:rPr>
          <w:rFonts w:ascii="Times New Roman" w:hAnsi="Times New Roman" w:cs="Times New Roman"/>
          <w:sz w:val="24"/>
        </w:rPr>
        <w:t xml:space="preserve"> wprost o świadku i biegłym, jak słusznie wskazuje D. Drajewicz, w literaturze wspomina się również o tłumaczach i specjalistach, którzy mogliby zostać objęci obowiązywaniem tego artykułu. Jak stanowi art. 204 §3 kpk – do tłumacza stosuje się odpowiednio przepisy dotyczące biegłych, tak samo stanowi art.206 § 1 w przypadku specjalistów. </w:t>
      </w:r>
      <w:r w:rsidR="00CD4128">
        <w:rPr>
          <w:rFonts w:ascii="Times New Roman" w:hAnsi="Times New Roman" w:cs="Times New Roman"/>
          <w:sz w:val="24"/>
        </w:rPr>
        <w:t xml:space="preserve"> </w:t>
      </w:r>
      <w:r w:rsidR="00F8172F">
        <w:rPr>
          <w:rFonts w:ascii="Times New Roman" w:hAnsi="Times New Roman" w:cs="Times New Roman"/>
          <w:sz w:val="24"/>
        </w:rPr>
        <w:t xml:space="preserve">Na odpowiednie zastosowanie wskazuje również wykładnia systemowa, argumentum a rubrica – nie przypadkowo rozdział 22 kpk zatytułowany jest „Biegli, tłumacze, specjaliści”. </w:t>
      </w:r>
    </w:p>
    <w:p w:rsidR="005A74EE" w:rsidRPr="000F3A6D" w:rsidRDefault="005A74EE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Artykuł ten ograniczył gwarancję nietykalności tylko dla obywateli </w:t>
      </w:r>
      <w:r w:rsidR="00BA5BE1">
        <w:rPr>
          <w:rFonts w:ascii="Times New Roman" w:hAnsi="Times New Roman" w:cs="Times New Roman"/>
          <w:sz w:val="24"/>
        </w:rPr>
        <w:t>obcych</w:t>
      </w:r>
      <w:r>
        <w:rPr>
          <w:rFonts w:ascii="Times New Roman" w:hAnsi="Times New Roman" w:cs="Times New Roman"/>
          <w:sz w:val="24"/>
        </w:rPr>
        <w:t>, nie trudno nie zgodzić się z D. Drajewiczem, że w czasach wzmożonej emigracji, szczególnie wewnątrz Unii Europe</w:t>
      </w:r>
      <w:r w:rsidR="000F3A6D">
        <w:rPr>
          <w:rFonts w:ascii="Times New Roman" w:hAnsi="Times New Roman" w:cs="Times New Roman"/>
          <w:sz w:val="24"/>
        </w:rPr>
        <w:t>jskiej trzeba opowiedzieć się za zmianą §1 poprzez usunięcie wyrażenia „niebędącym obywatelem polskim”. Obecnie</w:t>
      </w:r>
      <w:r>
        <w:rPr>
          <w:rFonts w:ascii="Times New Roman" w:hAnsi="Times New Roman" w:cs="Times New Roman"/>
          <w:sz w:val="24"/>
        </w:rPr>
        <w:t xml:space="preserve"> często może dojść do sytuacji, kiedy zachodzi potrzeba przesłuchania świadków lub biegłych, którzy przebywają stale za granicą, mimo iż są obywatelami polskimi. </w:t>
      </w:r>
      <w:r w:rsidR="000F3A6D">
        <w:rPr>
          <w:rFonts w:ascii="Times New Roman" w:hAnsi="Times New Roman" w:cs="Times New Roman"/>
          <w:sz w:val="24"/>
        </w:rPr>
        <w:t xml:space="preserve">Co więcej, sędzia w swoim artykule </w:t>
      </w:r>
      <w:r w:rsidR="000F3A6D" w:rsidRPr="000F3A6D">
        <w:rPr>
          <w:rFonts w:ascii="Times New Roman" w:hAnsi="Times New Roman" w:cs="Times New Roman"/>
          <w:i/>
          <w:sz w:val="24"/>
        </w:rPr>
        <w:t>„Quasi-list żelazny”</w:t>
      </w:r>
      <w:r w:rsidR="000F3A6D">
        <w:rPr>
          <w:rFonts w:ascii="Times New Roman" w:hAnsi="Times New Roman" w:cs="Times New Roman"/>
          <w:i/>
          <w:sz w:val="24"/>
        </w:rPr>
        <w:t xml:space="preserve"> </w:t>
      </w:r>
      <w:r w:rsidR="000F3A6D">
        <w:rPr>
          <w:rFonts w:ascii="Times New Roman" w:hAnsi="Times New Roman" w:cs="Times New Roman"/>
          <w:sz w:val="24"/>
        </w:rPr>
        <w:t>wskazuje, iż to ograniczenie ze względu na narodowość jest niezgodne z art.12 Europejskiej Konwencji o pomocy prawnej w sprawach karnych</w:t>
      </w:r>
      <w:r w:rsidR="006D082A">
        <w:rPr>
          <w:rFonts w:ascii="Times New Roman" w:hAnsi="Times New Roman" w:cs="Times New Roman"/>
          <w:sz w:val="24"/>
        </w:rPr>
        <w:t>(Polska jest jej stroną)</w:t>
      </w:r>
      <w:r w:rsidR="000F3A6D">
        <w:rPr>
          <w:rFonts w:ascii="Times New Roman" w:hAnsi="Times New Roman" w:cs="Times New Roman"/>
          <w:sz w:val="24"/>
        </w:rPr>
        <w:t xml:space="preserve">, która przyznaje tego typu ochronę niezależnie od posiadanego obywatelstwa. </w:t>
      </w:r>
    </w:p>
    <w:p w:rsidR="00234521" w:rsidRDefault="00A51E7E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Regulacja z art.589 kpk</w:t>
      </w:r>
      <w:r w:rsidR="00CD4128">
        <w:rPr>
          <w:rFonts w:ascii="Times New Roman" w:hAnsi="Times New Roman" w:cs="Times New Roman"/>
          <w:sz w:val="24"/>
        </w:rPr>
        <w:t>, różni się tym od listu żelaznego określonego w art.281 i n. tym, że wynika wprost z ustawy, nie od decyzji organu procesowego, który wydaje list.</w:t>
      </w:r>
      <w:r w:rsidR="000F3A6D">
        <w:rPr>
          <w:rFonts w:ascii="Times New Roman" w:hAnsi="Times New Roman" w:cs="Times New Roman"/>
          <w:sz w:val="24"/>
        </w:rPr>
        <w:t xml:space="preserve"> Poza tym art.589 stanowi tylko o gwarancji nietykalności w wypadku stawienia się przed sądem</w:t>
      </w:r>
      <w:r w:rsidR="008C0089">
        <w:rPr>
          <w:rFonts w:ascii="Times New Roman" w:hAnsi="Times New Roman" w:cs="Times New Roman"/>
          <w:sz w:val="24"/>
        </w:rPr>
        <w:t xml:space="preserve">(ominięcie prokuratora także jest sprzeczne z art. 12 Europejskiej Konwencji o pomocy prawnej w sprawach karnych, o której pisałam już wyżej), a rozdział 30 kpk – przed sądem i prokuratorem. </w:t>
      </w:r>
    </w:p>
    <w:p w:rsidR="00257C6F" w:rsidRDefault="00257C6F" w:rsidP="00212A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art.615§2 kpk, który stanowi, że przepisy tego działu (czyli między innymi art.589 kpk) mają tylko zastosowanie, jeśli umowa międzynarodowa stanowi inaczej</w:t>
      </w:r>
      <w:r w:rsidR="00693883">
        <w:rPr>
          <w:rFonts w:ascii="Times New Roman" w:hAnsi="Times New Roman" w:cs="Times New Roman"/>
          <w:sz w:val="24"/>
        </w:rPr>
        <w:t>(zasada pierwszeństwa)</w:t>
      </w:r>
      <w:r>
        <w:rPr>
          <w:rFonts w:ascii="Times New Roman" w:hAnsi="Times New Roman" w:cs="Times New Roman"/>
          <w:sz w:val="24"/>
        </w:rPr>
        <w:t>, przepis art.589 kpk</w:t>
      </w:r>
      <w:r w:rsidR="00BA5BE1">
        <w:rPr>
          <w:rFonts w:ascii="Times New Roman" w:hAnsi="Times New Roman" w:cs="Times New Roman"/>
          <w:sz w:val="24"/>
        </w:rPr>
        <w:t xml:space="preserve">  będzie stosowany tylko</w:t>
      </w:r>
      <w:r>
        <w:rPr>
          <w:rFonts w:ascii="Times New Roman" w:hAnsi="Times New Roman" w:cs="Times New Roman"/>
          <w:sz w:val="24"/>
        </w:rPr>
        <w:t xml:space="preserve">, jeśli osoba, która ma zostać wezwana przebywa w państwie który nie jest sygnatariuszem tej umowy. </w:t>
      </w:r>
    </w:p>
    <w:p w:rsidR="00CD4128" w:rsidRPr="00234521" w:rsidRDefault="00CD4128" w:rsidP="00D767D2">
      <w:pPr>
        <w:ind w:firstLine="709"/>
        <w:rPr>
          <w:rFonts w:ascii="Times New Roman" w:hAnsi="Times New Roman" w:cs="Times New Roman"/>
          <w:sz w:val="24"/>
        </w:rPr>
      </w:pPr>
    </w:p>
    <w:p w:rsidR="0026493E" w:rsidRDefault="0026493E" w:rsidP="0026493E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6493E" w:rsidRDefault="0026493E" w:rsidP="0026493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Bibliografia:</w:t>
      </w:r>
    </w:p>
    <w:p w:rsidR="004E22F8" w:rsidRPr="004E22F8" w:rsidRDefault="004E22F8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Drajewicz Dariusz, </w:t>
      </w:r>
      <w:r w:rsidRPr="004E22F8">
        <w:rPr>
          <w:rFonts w:ascii="Times New Roman" w:hAnsi="Times New Roman" w:cs="Times New Roman"/>
          <w:i/>
          <w:sz w:val="24"/>
          <w:szCs w:val="24"/>
        </w:rPr>
        <w:t>„</w:t>
      </w:r>
      <w:r w:rsidRPr="004E22F8">
        <w:rPr>
          <w:rFonts w:ascii="Times New Roman" w:eastAsia="Calibri" w:hAnsi="Times New Roman" w:cs="Times New Roman"/>
          <w:i/>
          <w:sz w:val="24"/>
          <w:szCs w:val="24"/>
        </w:rPr>
        <w:t>Glosa do postanowienia Sądu Najwyższego z dnia 10 lutego 2011 r., sygn. WZ 5/11</w:t>
      </w:r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8B3A3C">
        <w:rPr>
          <w:rFonts w:ascii="Times New Roman" w:hAnsi="Times New Roman" w:cs="Times New Roman"/>
          <w:sz w:val="24"/>
          <w:szCs w:val="24"/>
        </w:rPr>
        <w:t>Prokuratura i Prawo</w:t>
      </w:r>
      <w:r>
        <w:rPr>
          <w:rFonts w:ascii="Times New Roman" w:hAnsi="Times New Roman" w:cs="Times New Roman"/>
          <w:sz w:val="24"/>
          <w:szCs w:val="24"/>
        </w:rPr>
        <w:t xml:space="preserve"> 2, 2012</w:t>
      </w:r>
    </w:p>
    <w:p w:rsidR="00F70DE8" w:rsidRDefault="00F70DE8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Drajewicz Dariusz</w:t>
      </w:r>
      <w:r w:rsidRPr="00F70DE8">
        <w:rPr>
          <w:rFonts w:ascii="Times New Roman" w:hAnsi="Times New Roman" w:cs="Times New Roman"/>
          <w:i/>
          <w:sz w:val="24"/>
        </w:rPr>
        <w:t>, „Gwarancje listu żelaznego”</w:t>
      </w:r>
      <w:r>
        <w:rPr>
          <w:rFonts w:ascii="Times New Roman" w:hAnsi="Times New Roman" w:cs="Times New Roman"/>
          <w:sz w:val="24"/>
        </w:rPr>
        <w:t>, Prokuratura i Prawo 3, 2014</w:t>
      </w:r>
    </w:p>
    <w:p w:rsidR="00F70DE8" w:rsidRDefault="00F70DE8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Drajewicz Dariusz, </w:t>
      </w:r>
      <w:r w:rsidRPr="00F70DE8">
        <w:rPr>
          <w:rFonts w:ascii="Times New Roman" w:hAnsi="Times New Roman" w:cs="Times New Roman"/>
          <w:i/>
          <w:sz w:val="24"/>
        </w:rPr>
        <w:t>„List żelazny a zasady karnoprocesowe”</w:t>
      </w:r>
      <w:r>
        <w:rPr>
          <w:rFonts w:ascii="Times New Roman" w:hAnsi="Times New Roman" w:cs="Times New Roman"/>
          <w:sz w:val="24"/>
        </w:rPr>
        <w:t>, Prokuratura i prawo 4, 2014</w:t>
      </w:r>
    </w:p>
    <w:p w:rsidR="00D767D2" w:rsidRDefault="00D767D2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Drajewicz Dariusz</w:t>
      </w:r>
      <w:r w:rsidRPr="009B5A6F">
        <w:rPr>
          <w:rFonts w:ascii="Times New Roman" w:hAnsi="Times New Roman" w:cs="Times New Roman"/>
          <w:i/>
          <w:sz w:val="24"/>
        </w:rPr>
        <w:t>, „Quasi-list żelazny”</w:t>
      </w:r>
      <w:r>
        <w:rPr>
          <w:rFonts w:ascii="Times New Roman" w:hAnsi="Times New Roman" w:cs="Times New Roman"/>
          <w:sz w:val="24"/>
        </w:rPr>
        <w:t xml:space="preserve">, </w:t>
      </w:r>
      <w:r w:rsidR="009B5A6F">
        <w:rPr>
          <w:rFonts w:ascii="Times New Roman" w:hAnsi="Times New Roman" w:cs="Times New Roman"/>
          <w:sz w:val="24"/>
        </w:rPr>
        <w:t>Prokuratura i Prawo 11, 2013</w:t>
      </w:r>
    </w:p>
    <w:p w:rsidR="00F70DE8" w:rsidRDefault="00F70DE8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Kwaśniak Izabela</w:t>
      </w:r>
      <w:r w:rsidRPr="005466F2">
        <w:rPr>
          <w:rFonts w:ascii="Times New Roman" w:hAnsi="Times New Roman" w:cs="Times New Roman"/>
          <w:i/>
          <w:sz w:val="24"/>
        </w:rPr>
        <w:t>, „List żelazny w prawie polskim”</w:t>
      </w:r>
      <w:r>
        <w:rPr>
          <w:rFonts w:ascii="Times New Roman" w:hAnsi="Times New Roman" w:cs="Times New Roman"/>
          <w:sz w:val="24"/>
        </w:rPr>
        <w:t>, Prawo Europejskie w Praktyce, 2012</w:t>
      </w:r>
    </w:p>
    <w:p w:rsidR="006F6A39" w:rsidRDefault="006F6A39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Świda Zofia, Skorupka Jerzy, Ponikowski Ryszard, Posnow Włodzimierz, „Postępowanie karne. Część ogólna”, </w:t>
      </w:r>
      <w:r w:rsidR="009A5C5E">
        <w:rPr>
          <w:rFonts w:ascii="Times New Roman" w:hAnsi="Times New Roman" w:cs="Times New Roman"/>
          <w:sz w:val="24"/>
        </w:rPr>
        <w:t>Wolters Kluwer, Warszawa 2012</w:t>
      </w:r>
    </w:p>
    <w:p w:rsidR="0026493E" w:rsidRPr="0026493E" w:rsidRDefault="0026493E" w:rsidP="0026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Waltoś Stanisław, Hofmański Piotr; </w:t>
      </w:r>
      <w:r w:rsidR="009B5A6F">
        <w:rPr>
          <w:rFonts w:ascii="Times New Roman" w:hAnsi="Times New Roman" w:cs="Times New Roman"/>
          <w:sz w:val="24"/>
        </w:rPr>
        <w:t xml:space="preserve"> </w:t>
      </w:r>
      <w:r w:rsidRPr="0026493E">
        <w:rPr>
          <w:rFonts w:ascii="Times New Roman" w:hAnsi="Times New Roman" w:cs="Times New Roman"/>
          <w:i/>
          <w:sz w:val="24"/>
        </w:rPr>
        <w:t>„Proces karny. Zarys systemu”</w:t>
      </w:r>
      <w:r>
        <w:rPr>
          <w:rFonts w:ascii="Times New Roman" w:hAnsi="Times New Roman" w:cs="Times New Roman"/>
          <w:sz w:val="24"/>
        </w:rPr>
        <w:t>, Lexis Nexis, Warszawa 2013</w:t>
      </w:r>
    </w:p>
    <w:sectPr w:rsidR="0026493E" w:rsidRPr="0026493E" w:rsidSect="006E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556C"/>
    <w:multiLevelType w:val="hybridMultilevel"/>
    <w:tmpl w:val="AE56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4"/>
    <w:rsid w:val="0004018A"/>
    <w:rsid w:val="000B5954"/>
    <w:rsid w:val="000C43EB"/>
    <w:rsid w:val="000E3420"/>
    <w:rsid w:val="000F3A6D"/>
    <w:rsid w:val="001040A5"/>
    <w:rsid w:val="001428A2"/>
    <w:rsid w:val="001561EC"/>
    <w:rsid w:val="001B0F1D"/>
    <w:rsid w:val="001B5B63"/>
    <w:rsid w:val="001C4560"/>
    <w:rsid w:val="00212AD8"/>
    <w:rsid w:val="0021782C"/>
    <w:rsid w:val="00234521"/>
    <w:rsid w:val="00256982"/>
    <w:rsid w:val="00257C6F"/>
    <w:rsid w:val="0026493E"/>
    <w:rsid w:val="002733F6"/>
    <w:rsid w:val="0027669C"/>
    <w:rsid w:val="002A699C"/>
    <w:rsid w:val="003164C3"/>
    <w:rsid w:val="00374B88"/>
    <w:rsid w:val="003753A4"/>
    <w:rsid w:val="00394552"/>
    <w:rsid w:val="003C1E56"/>
    <w:rsid w:val="003C6B70"/>
    <w:rsid w:val="003C7C76"/>
    <w:rsid w:val="003D31CD"/>
    <w:rsid w:val="004018C1"/>
    <w:rsid w:val="00402700"/>
    <w:rsid w:val="0045625C"/>
    <w:rsid w:val="00462F6B"/>
    <w:rsid w:val="004872E2"/>
    <w:rsid w:val="004E22F8"/>
    <w:rsid w:val="0052137F"/>
    <w:rsid w:val="00540647"/>
    <w:rsid w:val="005466F2"/>
    <w:rsid w:val="00581F6F"/>
    <w:rsid w:val="005A74EE"/>
    <w:rsid w:val="005E0F0E"/>
    <w:rsid w:val="006044F7"/>
    <w:rsid w:val="00693883"/>
    <w:rsid w:val="006A76B4"/>
    <w:rsid w:val="006D082A"/>
    <w:rsid w:val="006D10B1"/>
    <w:rsid w:val="006E37E8"/>
    <w:rsid w:val="006F6A39"/>
    <w:rsid w:val="00733897"/>
    <w:rsid w:val="00754BE5"/>
    <w:rsid w:val="007A4A51"/>
    <w:rsid w:val="007E5478"/>
    <w:rsid w:val="007E7F23"/>
    <w:rsid w:val="00831DA3"/>
    <w:rsid w:val="008413C3"/>
    <w:rsid w:val="00887345"/>
    <w:rsid w:val="00891DEC"/>
    <w:rsid w:val="008B3A3C"/>
    <w:rsid w:val="008B628C"/>
    <w:rsid w:val="008B703F"/>
    <w:rsid w:val="008C0089"/>
    <w:rsid w:val="008E7A0A"/>
    <w:rsid w:val="00966833"/>
    <w:rsid w:val="009811A7"/>
    <w:rsid w:val="009849D6"/>
    <w:rsid w:val="009A5C5E"/>
    <w:rsid w:val="009B2688"/>
    <w:rsid w:val="009B5A6F"/>
    <w:rsid w:val="009F5D29"/>
    <w:rsid w:val="00A03E88"/>
    <w:rsid w:val="00A40EE2"/>
    <w:rsid w:val="00A51E7E"/>
    <w:rsid w:val="00A732A0"/>
    <w:rsid w:val="00B009F3"/>
    <w:rsid w:val="00B96D76"/>
    <w:rsid w:val="00BA0067"/>
    <w:rsid w:val="00BA5BE1"/>
    <w:rsid w:val="00BC5DD5"/>
    <w:rsid w:val="00C10C5A"/>
    <w:rsid w:val="00C26833"/>
    <w:rsid w:val="00C47E39"/>
    <w:rsid w:val="00C63499"/>
    <w:rsid w:val="00CA2306"/>
    <w:rsid w:val="00CD4128"/>
    <w:rsid w:val="00CD5377"/>
    <w:rsid w:val="00CE3D0B"/>
    <w:rsid w:val="00D037FF"/>
    <w:rsid w:val="00D06056"/>
    <w:rsid w:val="00D14576"/>
    <w:rsid w:val="00D201A0"/>
    <w:rsid w:val="00D23E03"/>
    <w:rsid w:val="00D24F9A"/>
    <w:rsid w:val="00D350A7"/>
    <w:rsid w:val="00D464B4"/>
    <w:rsid w:val="00D767D2"/>
    <w:rsid w:val="00D9641F"/>
    <w:rsid w:val="00DB0BE1"/>
    <w:rsid w:val="00DD1DCB"/>
    <w:rsid w:val="00EB55E7"/>
    <w:rsid w:val="00ED561A"/>
    <w:rsid w:val="00F02D33"/>
    <w:rsid w:val="00F113CC"/>
    <w:rsid w:val="00F70DE8"/>
    <w:rsid w:val="00F8172F"/>
    <w:rsid w:val="00FB6027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1801-3331-4941-BF79-C1D5FE6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dcterms:created xsi:type="dcterms:W3CDTF">2015-03-01T15:01:00Z</dcterms:created>
  <dcterms:modified xsi:type="dcterms:W3CDTF">2015-03-01T15:01:00Z</dcterms:modified>
</cp:coreProperties>
</file>