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BB" w:rsidRDefault="00580A69" w:rsidP="00436D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436DBB" w:rsidRPr="00436DBB">
        <w:rPr>
          <w:b/>
          <w:sz w:val="32"/>
          <w:szCs w:val="32"/>
        </w:rPr>
        <w:t>Julia Dobrowolska</w:t>
      </w:r>
    </w:p>
    <w:p w:rsidR="00436DBB" w:rsidRPr="00436DBB" w:rsidRDefault="00436DBB" w:rsidP="00436DBB">
      <w:pPr>
        <w:rPr>
          <w:b/>
          <w:sz w:val="32"/>
          <w:szCs w:val="32"/>
        </w:rPr>
      </w:pPr>
    </w:p>
    <w:p w:rsidR="0013385E" w:rsidRPr="00436DBB" w:rsidRDefault="00782CEB" w:rsidP="00782CEB">
      <w:pPr>
        <w:jc w:val="center"/>
        <w:rPr>
          <w:b/>
          <w:sz w:val="40"/>
          <w:szCs w:val="40"/>
        </w:rPr>
      </w:pPr>
      <w:r w:rsidRPr="00436DBB">
        <w:rPr>
          <w:b/>
          <w:sz w:val="40"/>
          <w:szCs w:val="40"/>
        </w:rPr>
        <w:t>DOMNIEMANIE NIEWINNOŚCI</w:t>
      </w:r>
      <w:r w:rsidR="009E2CAA" w:rsidRPr="00436DBB">
        <w:rPr>
          <w:b/>
          <w:sz w:val="40"/>
          <w:szCs w:val="40"/>
        </w:rPr>
        <w:t xml:space="preserve"> </w:t>
      </w:r>
      <w:r w:rsidR="00FF5A04" w:rsidRPr="00436DBB">
        <w:rPr>
          <w:b/>
          <w:sz w:val="40"/>
          <w:szCs w:val="40"/>
        </w:rPr>
        <w:t>A POLSKA RZECZYWISTOŚĆ</w:t>
      </w:r>
    </w:p>
    <w:p w:rsidR="00782CEB" w:rsidRDefault="00782CEB" w:rsidP="00782CEB">
      <w:pPr>
        <w:jc w:val="center"/>
        <w:rPr>
          <w:b/>
          <w:sz w:val="36"/>
          <w:szCs w:val="36"/>
        </w:rPr>
      </w:pPr>
    </w:p>
    <w:p w:rsidR="00782CEB" w:rsidRPr="00436DBB" w:rsidRDefault="00782CEB" w:rsidP="00436DBB">
      <w:pPr>
        <w:ind w:firstLine="708"/>
        <w:jc w:val="both"/>
        <w:rPr>
          <w:sz w:val="25"/>
          <w:szCs w:val="25"/>
        </w:rPr>
      </w:pPr>
      <w:r w:rsidRPr="00436DBB">
        <w:rPr>
          <w:sz w:val="25"/>
          <w:szCs w:val="25"/>
        </w:rPr>
        <w:t>Domniemanie niewinności to jedna z naczelnych zasad procesu karnego</w:t>
      </w:r>
      <w:r w:rsidR="007640B7" w:rsidRPr="00436DBB">
        <w:rPr>
          <w:sz w:val="25"/>
          <w:szCs w:val="25"/>
        </w:rPr>
        <w:t>, która została uznana za normę prawną już w 1789r. w czasie Wielkiej Rewolucji Francuskiej</w:t>
      </w:r>
      <w:r w:rsidRPr="00436DBB">
        <w:rPr>
          <w:sz w:val="25"/>
          <w:szCs w:val="25"/>
        </w:rPr>
        <w:t xml:space="preserve">. </w:t>
      </w:r>
      <w:r w:rsidR="00174E6B">
        <w:rPr>
          <w:sz w:val="25"/>
          <w:szCs w:val="25"/>
        </w:rPr>
        <w:t xml:space="preserve">  </w:t>
      </w:r>
      <w:r w:rsidR="007640B7" w:rsidRPr="00436DBB">
        <w:rPr>
          <w:sz w:val="25"/>
          <w:szCs w:val="25"/>
        </w:rPr>
        <w:t>W Polsce zasada ta obowiązuje na mocy zarówno przepisów</w:t>
      </w:r>
      <w:r w:rsidR="00406856" w:rsidRPr="00436DBB">
        <w:rPr>
          <w:sz w:val="25"/>
          <w:szCs w:val="25"/>
        </w:rPr>
        <w:t xml:space="preserve"> prawa krajowego </w:t>
      </w:r>
      <w:r w:rsidR="00174E6B">
        <w:rPr>
          <w:sz w:val="25"/>
          <w:szCs w:val="25"/>
        </w:rPr>
        <w:t xml:space="preserve">            </w:t>
      </w:r>
      <w:r w:rsidR="00406856" w:rsidRPr="00436DBB">
        <w:rPr>
          <w:sz w:val="25"/>
          <w:szCs w:val="25"/>
        </w:rPr>
        <w:t>(art. 43 ust. 3 Konstytucji RP, art. 5 § 1 Kodeksu postępowania karnego</w:t>
      </w:r>
      <w:r w:rsidR="007640B7" w:rsidRPr="00436DBB">
        <w:rPr>
          <w:sz w:val="25"/>
          <w:szCs w:val="25"/>
        </w:rPr>
        <w:t>) jak i przepisów</w:t>
      </w:r>
      <w:r w:rsidR="00406856" w:rsidRPr="00436DBB">
        <w:rPr>
          <w:sz w:val="25"/>
          <w:szCs w:val="25"/>
        </w:rPr>
        <w:t xml:space="preserve"> prawa międzynarodowego (art. 6 ust. 2 Europejskiej Konwencji Praw Człowieka, </w:t>
      </w:r>
      <w:r w:rsidR="00174E6B">
        <w:rPr>
          <w:sz w:val="25"/>
          <w:szCs w:val="25"/>
        </w:rPr>
        <w:t xml:space="preserve">          </w:t>
      </w:r>
      <w:r w:rsidR="00406856" w:rsidRPr="00436DBB">
        <w:rPr>
          <w:sz w:val="25"/>
          <w:szCs w:val="25"/>
        </w:rPr>
        <w:t>art. 14 ust. 2 Międzynarodowego Paktu Praw Obywatelskich i Politycznych</w:t>
      </w:r>
      <w:r w:rsidR="007640B7" w:rsidRPr="00436DBB">
        <w:rPr>
          <w:sz w:val="25"/>
          <w:szCs w:val="25"/>
        </w:rPr>
        <w:t xml:space="preserve">).  Wydawałoby się, że domniemanie niewinności, prawo tak fundamentalne dla procesu karnego, regulowane przez tak wiele aktów prawnych, będzie przestrzegane w każdej sytuacji, bez względu na okoliczności. Czy jednak rzeczywiście tak jest? </w:t>
      </w:r>
    </w:p>
    <w:p w:rsidR="002D5156" w:rsidRPr="00436DBB" w:rsidRDefault="009E2CAA" w:rsidP="00436DBB">
      <w:pPr>
        <w:jc w:val="both"/>
        <w:rPr>
          <w:sz w:val="25"/>
          <w:szCs w:val="25"/>
        </w:rPr>
      </w:pPr>
      <w:r w:rsidRPr="00436DBB">
        <w:rPr>
          <w:sz w:val="25"/>
          <w:szCs w:val="25"/>
        </w:rPr>
        <w:tab/>
        <w:t>Czym jest domniemanie niewinności?</w:t>
      </w:r>
      <w:r w:rsidR="005C29B4" w:rsidRPr="00436DBB">
        <w:rPr>
          <w:sz w:val="25"/>
          <w:szCs w:val="25"/>
        </w:rPr>
        <w:t xml:space="preserve"> Według </w:t>
      </w:r>
      <w:r w:rsidR="0013385E" w:rsidRPr="00436DBB">
        <w:rPr>
          <w:sz w:val="25"/>
          <w:szCs w:val="25"/>
        </w:rPr>
        <w:t>Kodeksu postępowania karnego</w:t>
      </w:r>
      <w:r w:rsidR="005C29B4" w:rsidRPr="00436DBB">
        <w:rPr>
          <w:sz w:val="25"/>
          <w:szCs w:val="25"/>
        </w:rPr>
        <w:t xml:space="preserve"> </w:t>
      </w:r>
      <w:r w:rsidR="001748FC" w:rsidRPr="00436DBB">
        <w:rPr>
          <w:sz w:val="25"/>
          <w:szCs w:val="25"/>
        </w:rPr>
        <w:t xml:space="preserve">owa zasada to dyrektywa, zgodnie z którą </w:t>
      </w:r>
      <w:r w:rsidR="0013385E" w:rsidRPr="00436DBB">
        <w:rPr>
          <w:sz w:val="25"/>
          <w:szCs w:val="25"/>
        </w:rPr>
        <w:t>(art. 5 § 1) „</w:t>
      </w:r>
      <w:r w:rsidR="0013385E" w:rsidRPr="00436DBB">
        <w:rPr>
          <w:i/>
          <w:sz w:val="25"/>
          <w:szCs w:val="25"/>
        </w:rPr>
        <w:t>O</w:t>
      </w:r>
      <w:r w:rsidR="001748FC" w:rsidRPr="00436DBB">
        <w:rPr>
          <w:i/>
          <w:sz w:val="25"/>
          <w:szCs w:val="25"/>
        </w:rPr>
        <w:t>skarżonego uważa</w:t>
      </w:r>
      <w:r w:rsidR="0013385E" w:rsidRPr="00436DBB">
        <w:rPr>
          <w:i/>
          <w:sz w:val="25"/>
          <w:szCs w:val="25"/>
        </w:rPr>
        <w:t xml:space="preserve"> się</w:t>
      </w:r>
      <w:r w:rsidR="001748FC" w:rsidRPr="00436DBB">
        <w:rPr>
          <w:i/>
          <w:sz w:val="25"/>
          <w:szCs w:val="25"/>
        </w:rPr>
        <w:t xml:space="preserve"> za niewinnego, dopóki jego wina nie zostanie udowodniona i stwierdzona prawomocnym wyrokiem</w:t>
      </w:r>
      <w:r w:rsidR="001748FC" w:rsidRPr="00436DBB">
        <w:rPr>
          <w:sz w:val="25"/>
          <w:szCs w:val="25"/>
        </w:rPr>
        <w:t>.</w:t>
      </w:r>
      <w:r w:rsidR="0013385E" w:rsidRPr="00436DBB">
        <w:rPr>
          <w:sz w:val="25"/>
          <w:szCs w:val="25"/>
        </w:rPr>
        <w:t>”</w:t>
      </w:r>
      <w:r w:rsidR="001748FC" w:rsidRPr="00436DBB">
        <w:rPr>
          <w:sz w:val="25"/>
          <w:szCs w:val="25"/>
        </w:rPr>
        <w:t xml:space="preserve"> Jest to domniemanie prawne wzruszalne, które można obalić poprzez wydanie wyroku skazującego lub wyroku warunkowo umarzającego postępowanie.</w:t>
      </w:r>
      <w:r w:rsidR="006F0EBB" w:rsidRPr="00436DBB">
        <w:rPr>
          <w:sz w:val="25"/>
          <w:szCs w:val="25"/>
        </w:rPr>
        <w:t xml:space="preserve"> </w:t>
      </w:r>
    </w:p>
    <w:p w:rsidR="007640B7" w:rsidRPr="00436DBB" w:rsidRDefault="006F0EBB" w:rsidP="00436DBB">
      <w:pPr>
        <w:ind w:firstLine="708"/>
        <w:jc w:val="both"/>
        <w:rPr>
          <w:sz w:val="25"/>
          <w:szCs w:val="25"/>
        </w:rPr>
      </w:pPr>
      <w:r w:rsidRPr="00436DBB">
        <w:rPr>
          <w:sz w:val="25"/>
          <w:szCs w:val="25"/>
        </w:rPr>
        <w:t xml:space="preserve">Rozważania na temat </w:t>
      </w:r>
      <w:r w:rsidR="002D5156" w:rsidRPr="00436DBB">
        <w:rPr>
          <w:sz w:val="25"/>
          <w:szCs w:val="25"/>
        </w:rPr>
        <w:t>podstaw aksjologicznych</w:t>
      </w:r>
      <w:r w:rsidRPr="00436DBB">
        <w:rPr>
          <w:sz w:val="25"/>
          <w:szCs w:val="25"/>
        </w:rPr>
        <w:t xml:space="preserve"> </w:t>
      </w:r>
      <w:r w:rsidR="002D5156" w:rsidRPr="00436DBB">
        <w:rPr>
          <w:sz w:val="25"/>
          <w:szCs w:val="25"/>
        </w:rPr>
        <w:t>u</w:t>
      </w:r>
      <w:r w:rsidRPr="00436DBB">
        <w:rPr>
          <w:sz w:val="25"/>
          <w:szCs w:val="25"/>
        </w:rPr>
        <w:t>tworzenia takiej zasady prowadziła Anna Tęcza-Paciorek, która stwierdziła, iż „</w:t>
      </w:r>
      <w:r w:rsidRPr="00436DBB">
        <w:rPr>
          <w:i/>
          <w:sz w:val="25"/>
          <w:szCs w:val="25"/>
        </w:rPr>
        <w:t xml:space="preserve">myślą przewodnią w czasie tworzenia zasady domniemania niewinności było stworzenie takiej regulacji, która uwolniłaby oskarżonego od strachu przed samym postępowaniem karnym i pomogła </w:t>
      </w:r>
      <w:r w:rsidR="00174E6B">
        <w:rPr>
          <w:i/>
          <w:sz w:val="25"/>
          <w:szCs w:val="25"/>
        </w:rPr>
        <w:t xml:space="preserve">     </w:t>
      </w:r>
      <w:r w:rsidRPr="00436DBB">
        <w:rPr>
          <w:i/>
          <w:sz w:val="25"/>
          <w:szCs w:val="25"/>
        </w:rPr>
        <w:t xml:space="preserve">w dążeniu do ujawnienia prawdy. Ferowanie wyroku i przesądzanie już na samym początku winy oskarżonego nigdy nie będzie powadziło do wydania sprawiedliwego orzeczenia, lecz do szykanowania oskarżonego. To natomiast powoduje w każdym człowieku stającym przed sądem narastającą niepewność, że pomimo niepopełnienia przestępstwa może stać się w każdej chwili ofiarą systemu, który jest nastawiony przeciwko niemu. Zasada domniemania niewinności kształtuje zatem cały model postępowania karnego, którego </w:t>
      </w:r>
      <w:r w:rsidR="00174E6B">
        <w:rPr>
          <w:i/>
          <w:sz w:val="25"/>
          <w:szCs w:val="25"/>
        </w:rPr>
        <w:t>zadaniem</w:t>
      </w:r>
      <w:r w:rsidRPr="00436DBB">
        <w:rPr>
          <w:i/>
          <w:sz w:val="25"/>
          <w:szCs w:val="25"/>
        </w:rPr>
        <w:t xml:space="preserve"> jest przede wszystkim wykrycie sprawcy przestępstwa i pociągnięcie go do odpowiedzialności karnej oraz ukształtowanie procesu karnego w taki sposób, aby osoba niewinna nie poniosła tej odpowiedzialności </w:t>
      </w:r>
      <w:r w:rsidR="00174E6B">
        <w:rPr>
          <w:i/>
          <w:sz w:val="25"/>
          <w:szCs w:val="25"/>
        </w:rPr>
        <w:t xml:space="preserve">             </w:t>
      </w:r>
      <w:r w:rsidRPr="00436DBB">
        <w:rPr>
          <w:i/>
          <w:sz w:val="25"/>
          <w:szCs w:val="25"/>
        </w:rPr>
        <w:t xml:space="preserve">(art. 2 §1 pkt 1 k.p.k.). Gdyby domniemanie niewinności nie było respektowane, proces karny stałby się procesem inkwizycyjnym, nastawionym nie na dojście do prawdy, lecz na </w:t>
      </w:r>
      <w:r w:rsidRPr="00436DBB">
        <w:rPr>
          <w:i/>
          <w:sz w:val="25"/>
          <w:szCs w:val="25"/>
        </w:rPr>
        <w:lastRenderedPageBreak/>
        <w:t xml:space="preserve">wymierzenie kary, niekoniecznie sprawcy przestępstwa. </w:t>
      </w:r>
      <w:r w:rsidR="002D5156" w:rsidRPr="00436DBB">
        <w:rPr>
          <w:i/>
          <w:sz w:val="25"/>
          <w:szCs w:val="25"/>
        </w:rPr>
        <w:t xml:space="preserve">Postępowanie karne byłoby formą linczu na oskarżonym, przeciwko któremu skierowany byłby cały system stworzony do prowadzenia procesów karnych. (…) Bezsprzecznie w aspekcie socjologicznym </w:t>
      </w:r>
      <w:r w:rsidR="00174E6B">
        <w:rPr>
          <w:i/>
          <w:sz w:val="25"/>
          <w:szCs w:val="25"/>
        </w:rPr>
        <w:t xml:space="preserve">               </w:t>
      </w:r>
      <w:r w:rsidR="002D5156" w:rsidRPr="00436DBB">
        <w:rPr>
          <w:i/>
          <w:sz w:val="25"/>
          <w:szCs w:val="25"/>
        </w:rPr>
        <w:t>i kulturowym traktowanie człowieka jak niewinnego dopóki jego wina nie zostanie udowodniona prawomocnym wyrokiem jest stanem pożądanym. Zachodzi tu bowiem zgodność z moralnym przeświadczeniem, że człowiek zasługuje na humanitarne traktowanie jego osoby bez względu na to, w jakiej sytuacji życiowej się znalazł.”</w:t>
      </w:r>
      <w:r w:rsidR="002D5156" w:rsidRPr="00436DBB">
        <w:rPr>
          <w:sz w:val="25"/>
          <w:szCs w:val="25"/>
        </w:rPr>
        <w:t xml:space="preserve"> </w:t>
      </w:r>
      <w:r w:rsidR="00174E6B" w:rsidRPr="00436DBB">
        <w:rPr>
          <w:rStyle w:val="FootnoteReference"/>
          <w:sz w:val="25"/>
          <w:szCs w:val="25"/>
        </w:rPr>
        <w:footnoteReference w:id="1"/>
      </w:r>
    </w:p>
    <w:p w:rsidR="008F4CE8" w:rsidRPr="00436DBB" w:rsidRDefault="001748FC" w:rsidP="00436DBB">
      <w:pPr>
        <w:jc w:val="both"/>
        <w:rPr>
          <w:sz w:val="25"/>
          <w:szCs w:val="25"/>
        </w:rPr>
      </w:pPr>
      <w:r w:rsidRPr="00436DBB">
        <w:rPr>
          <w:sz w:val="25"/>
          <w:szCs w:val="25"/>
        </w:rPr>
        <w:tab/>
        <w:t xml:space="preserve">W doktrynie wydziela się dwa aspekty domniemania niewinności- procesowy </w:t>
      </w:r>
      <w:r w:rsidR="00C11D8B">
        <w:rPr>
          <w:sz w:val="25"/>
          <w:szCs w:val="25"/>
        </w:rPr>
        <w:t xml:space="preserve">        </w:t>
      </w:r>
      <w:r w:rsidRPr="00436DBB">
        <w:rPr>
          <w:sz w:val="25"/>
          <w:szCs w:val="25"/>
        </w:rPr>
        <w:t>i pozaprocesowy.</w:t>
      </w:r>
      <w:r w:rsidR="00B90C4A" w:rsidRPr="00436DBB">
        <w:rPr>
          <w:sz w:val="25"/>
          <w:szCs w:val="25"/>
        </w:rPr>
        <w:t xml:space="preserve"> Aspekt procesowy </w:t>
      </w:r>
      <w:r w:rsidR="00C11D8B">
        <w:rPr>
          <w:sz w:val="25"/>
          <w:szCs w:val="25"/>
        </w:rPr>
        <w:t>kierowany jest do</w:t>
      </w:r>
      <w:r w:rsidR="00B90C4A" w:rsidRPr="00436DBB">
        <w:rPr>
          <w:sz w:val="25"/>
          <w:szCs w:val="25"/>
        </w:rPr>
        <w:t xml:space="preserve"> organów procesowych, które mają za zadanie przestrzegać gwarancji procesowych przyznanych oskarżonemu przez prawo, aż do momentu wydania wyroku stwierdzającego winę oskarżonego. Aspekt pozaprocesowy adresowany jest do ogółu społeczeństwa. </w:t>
      </w:r>
    </w:p>
    <w:p w:rsidR="001748FC" w:rsidRPr="00436DBB" w:rsidRDefault="00B90C4A" w:rsidP="00436DBB">
      <w:pPr>
        <w:ind w:firstLine="708"/>
        <w:jc w:val="both"/>
        <w:rPr>
          <w:sz w:val="25"/>
          <w:szCs w:val="25"/>
        </w:rPr>
      </w:pPr>
      <w:r w:rsidRPr="00436DBB">
        <w:rPr>
          <w:sz w:val="25"/>
          <w:szCs w:val="25"/>
        </w:rPr>
        <w:t>S. Waltoś</w:t>
      </w:r>
      <w:r w:rsidR="008F4CE8" w:rsidRPr="00436DBB">
        <w:rPr>
          <w:sz w:val="25"/>
          <w:szCs w:val="25"/>
        </w:rPr>
        <w:t xml:space="preserve"> dzieli adresatów aspektu pozaprocesowego</w:t>
      </w:r>
      <w:r w:rsidRPr="00436DBB">
        <w:rPr>
          <w:sz w:val="25"/>
          <w:szCs w:val="25"/>
        </w:rPr>
        <w:t xml:space="preserve"> na trzy kategorie : osoby fizyczne, organy administracji </w:t>
      </w:r>
      <w:r w:rsidR="008F4CE8" w:rsidRPr="00436DBB">
        <w:rPr>
          <w:sz w:val="25"/>
          <w:szCs w:val="25"/>
        </w:rPr>
        <w:t xml:space="preserve">i władzy i organy kierujące instytucjami i organizacjami społecznymi oraz media (prasę, telewizję, radio itp.). </w:t>
      </w:r>
    </w:p>
    <w:p w:rsidR="008F4CE8" w:rsidRPr="00436DBB" w:rsidRDefault="008F4CE8" w:rsidP="00436DBB">
      <w:pPr>
        <w:ind w:firstLine="708"/>
        <w:jc w:val="both"/>
        <w:rPr>
          <w:sz w:val="25"/>
          <w:szCs w:val="25"/>
        </w:rPr>
      </w:pPr>
      <w:r w:rsidRPr="00436DBB">
        <w:rPr>
          <w:sz w:val="25"/>
          <w:szCs w:val="25"/>
        </w:rPr>
        <w:t>W przypadku pierwszej kategorii (osoby fizyczne) przestrzeganie zasady domniemania niewinności przejawia się w „</w:t>
      </w:r>
      <w:r w:rsidRPr="00436DBB">
        <w:rPr>
          <w:i/>
          <w:sz w:val="25"/>
          <w:szCs w:val="25"/>
        </w:rPr>
        <w:t>powstrzymywaniu się od podejmowania niekorzystnych kroków wobec oskarżonego, zanim wina zostanie mu wykazana</w:t>
      </w:r>
      <w:r w:rsidRPr="00436DBB">
        <w:rPr>
          <w:sz w:val="25"/>
          <w:szCs w:val="25"/>
        </w:rPr>
        <w:t>”</w:t>
      </w:r>
      <w:r w:rsidR="00BB7842" w:rsidRPr="00436DBB">
        <w:rPr>
          <w:rStyle w:val="FootnoteReference"/>
          <w:sz w:val="25"/>
          <w:szCs w:val="25"/>
        </w:rPr>
        <w:footnoteReference w:id="2"/>
      </w:r>
      <w:r w:rsidRPr="00436DBB">
        <w:rPr>
          <w:sz w:val="25"/>
          <w:szCs w:val="25"/>
        </w:rPr>
        <w:t xml:space="preserve">. Oznacza to, iż powinniśmy zaniechać wydawania opinii i posądzania oskarżonego, póki nie zapadnie prawomocny wyrok przesądzający o jego winie. </w:t>
      </w:r>
      <w:r w:rsidR="00AE4B61" w:rsidRPr="00436DBB">
        <w:rPr>
          <w:sz w:val="25"/>
          <w:szCs w:val="25"/>
        </w:rPr>
        <w:t>Wyjątek od tej reguły stanowią drastyczne przypadki, np</w:t>
      </w:r>
      <w:r w:rsidR="00C11D8B">
        <w:rPr>
          <w:sz w:val="25"/>
          <w:szCs w:val="25"/>
        </w:rPr>
        <w:t>. ujęcie na gorącym uczynku. B</w:t>
      </w:r>
      <w:r w:rsidR="00C11D8B" w:rsidRPr="00436DBB">
        <w:rPr>
          <w:sz w:val="25"/>
          <w:szCs w:val="25"/>
        </w:rPr>
        <w:t xml:space="preserve">owiem </w:t>
      </w:r>
      <w:r w:rsidR="00C11D8B">
        <w:rPr>
          <w:sz w:val="25"/>
          <w:szCs w:val="25"/>
        </w:rPr>
        <w:t xml:space="preserve">                             z</w:t>
      </w:r>
      <w:r w:rsidR="00AE4B61" w:rsidRPr="00436DBB">
        <w:rPr>
          <w:sz w:val="25"/>
          <w:szCs w:val="25"/>
        </w:rPr>
        <w:t xml:space="preserve"> psychologicznego punktu widzenia niemożliwe jest, aby wymagać od ludzi uznawania człowieka za niewinnego w sytuacji, gdy złapano go</w:t>
      </w:r>
      <w:r w:rsidR="00C11D8B">
        <w:rPr>
          <w:sz w:val="25"/>
          <w:szCs w:val="25"/>
        </w:rPr>
        <w:t xml:space="preserve"> np.</w:t>
      </w:r>
      <w:r w:rsidR="00AE4B61" w:rsidRPr="00436DBB">
        <w:rPr>
          <w:sz w:val="25"/>
          <w:szCs w:val="25"/>
        </w:rPr>
        <w:t xml:space="preserve"> w trakcie okradania domu.</w:t>
      </w:r>
    </w:p>
    <w:p w:rsidR="009671A8" w:rsidRPr="00436DBB" w:rsidRDefault="00AE4B61" w:rsidP="00436DBB">
      <w:pPr>
        <w:ind w:firstLine="708"/>
        <w:jc w:val="both"/>
        <w:rPr>
          <w:sz w:val="25"/>
          <w:szCs w:val="25"/>
        </w:rPr>
      </w:pPr>
      <w:r w:rsidRPr="00436DBB">
        <w:rPr>
          <w:sz w:val="25"/>
          <w:szCs w:val="25"/>
        </w:rPr>
        <w:t xml:space="preserve">Poszanowanie domniemania niewinności przez drugiego adresata (organy administracji i organy kierownicze instytucji i przedsiębiorstw) uwidacznia się w </w:t>
      </w:r>
      <w:r w:rsidR="006620F0" w:rsidRPr="00436DBB">
        <w:rPr>
          <w:sz w:val="25"/>
          <w:szCs w:val="25"/>
        </w:rPr>
        <w:t>„</w:t>
      </w:r>
      <w:r w:rsidRPr="00436DBB">
        <w:rPr>
          <w:i/>
          <w:sz w:val="25"/>
          <w:szCs w:val="25"/>
        </w:rPr>
        <w:t xml:space="preserve">zakazie </w:t>
      </w:r>
      <w:r w:rsidR="006620F0" w:rsidRPr="00436DBB">
        <w:rPr>
          <w:i/>
          <w:sz w:val="25"/>
          <w:szCs w:val="25"/>
        </w:rPr>
        <w:t>zwalniania z pracy i usuwania z organizacji społecznych przed sądowym rozstrzygnięciem kwestii odpowiedzialności karnej za zarzucone przestępstwo</w:t>
      </w:r>
      <w:r w:rsidR="006620F0" w:rsidRPr="00436DBB">
        <w:rPr>
          <w:sz w:val="25"/>
          <w:szCs w:val="25"/>
        </w:rPr>
        <w:t>”</w:t>
      </w:r>
      <w:r w:rsidR="00BB7842" w:rsidRPr="00436DBB">
        <w:rPr>
          <w:rStyle w:val="FootnoteReference"/>
          <w:sz w:val="25"/>
          <w:szCs w:val="25"/>
        </w:rPr>
        <w:footnoteReference w:id="3"/>
      </w:r>
      <w:r w:rsidR="006620F0" w:rsidRPr="00436DBB">
        <w:rPr>
          <w:sz w:val="25"/>
          <w:szCs w:val="25"/>
        </w:rPr>
        <w:t>.</w:t>
      </w:r>
      <w:r w:rsidR="003B0DA5" w:rsidRPr="00436DBB">
        <w:rPr>
          <w:sz w:val="25"/>
          <w:szCs w:val="25"/>
        </w:rPr>
        <w:t xml:space="preserve"> Wyjątek stwarza tu </w:t>
      </w:r>
      <w:r w:rsidR="00C11D8B">
        <w:rPr>
          <w:sz w:val="25"/>
          <w:szCs w:val="25"/>
        </w:rPr>
        <w:t xml:space="preserve">       </w:t>
      </w:r>
      <w:r w:rsidR="003B0DA5" w:rsidRPr="00436DBB">
        <w:rPr>
          <w:sz w:val="25"/>
          <w:szCs w:val="25"/>
        </w:rPr>
        <w:t>art. 52 § 1 pkt 2 Kodeksu pracy</w:t>
      </w:r>
      <w:r w:rsidR="00AA201F">
        <w:rPr>
          <w:sz w:val="25"/>
          <w:szCs w:val="25"/>
        </w:rPr>
        <w:t>, który mówi, że</w:t>
      </w:r>
      <w:r w:rsidR="003B0DA5" w:rsidRPr="00436DBB">
        <w:rPr>
          <w:sz w:val="25"/>
          <w:szCs w:val="25"/>
        </w:rPr>
        <w:t xml:space="preserve"> „</w:t>
      </w:r>
      <w:r w:rsidR="003B0DA5" w:rsidRPr="00436DBB">
        <w:rPr>
          <w:i/>
          <w:sz w:val="25"/>
          <w:szCs w:val="25"/>
        </w:rPr>
        <w:t xml:space="preserve">pracodawca może rozwiązać umowę </w:t>
      </w:r>
      <w:r w:rsidR="00AA201F">
        <w:rPr>
          <w:i/>
          <w:sz w:val="25"/>
          <w:szCs w:val="25"/>
        </w:rPr>
        <w:t xml:space="preserve">      </w:t>
      </w:r>
      <w:r w:rsidR="003B0DA5" w:rsidRPr="00436DBB">
        <w:rPr>
          <w:i/>
          <w:sz w:val="25"/>
          <w:szCs w:val="25"/>
        </w:rPr>
        <w:t xml:space="preserve">o pracę bez wypowiedzenia z winy pracownika w razie popełnienia przez pracownika </w:t>
      </w:r>
      <w:r w:rsidR="00AA201F">
        <w:rPr>
          <w:i/>
          <w:sz w:val="25"/>
          <w:szCs w:val="25"/>
        </w:rPr>
        <w:t xml:space="preserve">      </w:t>
      </w:r>
      <w:r w:rsidR="003B0DA5" w:rsidRPr="00436DBB">
        <w:rPr>
          <w:i/>
          <w:sz w:val="25"/>
          <w:szCs w:val="25"/>
        </w:rPr>
        <w:t>w czasie trwania umowy o pracę przestępstwa, które uniemożliwia dalsze zatrudnianie go na zajmowanym stanowisku, jeżeli przestępstwo jest oczywiste lub zostało stwierdzone prawomocnym wyrokiem</w:t>
      </w:r>
      <w:r w:rsidR="003B0DA5" w:rsidRPr="00436DBB">
        <w:rPr>
          <w:sz w:val="25"/>
          <w:szCs w:val="25"/>
        </w:rPr>
        <w:t>”.</w:t>
      </w:r>
    </w:p>
    <w:p w:rsidR="00E2713E" w:rsidRPr="00436DBB" w:rsidRDefault="003B0DA5" w:rsidP="00436DBB">
      <w:pPr>
        <w:ind w:firstLine="708"/>
        <w:jc w:val="both"/>
        <w:rPr>
          <w:rFonts w:eastAsia="Times New Roman" w:cs="mesNewRomanPSMT"/>
          <w:color w:val="000000"/>
          <w:sz w:val="25"/>
          <w:szCs w:val="25"/>
        </w:rPr>
      </w:pPr>
      <w:r w:rsidRPr="00436DBB">
        <w:rPr>
          <w:sz w:val="25"/>
          <w:szCs w:val="25"/>
        </w:rPr>
        <w:t xml:space="preserve">Ostatnia kategoria to </w:t>
      </w:r>
      <w:r w:rsidR="00457E4F" w:rsidRPr="00436DBB">
        <w:rPr>
          <w:sz w:val="25"/>
          <w:szCs w:val="25"/>
        </w:rPr>
        <w:t>środki masowego przekazu</w:t>
      </w:r>
      <w:r w:rsidRPr="00436DBB">
        <w:rPr>
          <w:sz w:val="25"/>
          <w:szCs w:val="25"/>
        </w:rPr>
        <w:t>. Zgodnie z zasadą domniemania niewinności „</w:t>
      </w:r>
      <w:r w:rsidRPr="00436DBB">
        <w:rPr>
          <w:i/>
          <w:sz w:val="25"/>
          <w:szCs w:val="25"/>
        </w:rPr>
        <w:t>niedopuszczalne jest przesądzanie w sprawozdaniach, reportażach</w:t>
      </w:r>
      <w:r w:rsidR="00AA201F">
        <w:rPr>
          <w:i/>
          <w:sz w:val="25"/>
          <w:szCs w:val="25"/>
        </w:rPr>
        <w:t xml:space="preserve">                </w:t>
      </w:r>
      <w:r w:rsidRPr="00436DBB">
        <w:rPr>
          <w:i/>
          <w:sz w:val="25"/>
          <w:szCs w:val="25"/>
        </w:rPr>
        <w:t xml:space="preserve"> </w:t>
      </w:r>
      <w:r w:rsidRPr="00436DBB">
        <w:rPr>
          <w:i/>
          <w:sz w:val="25"/>
          <w:szCs w:val="25"/>
        </w:rPr>
        <w:lastRenderedPageBreak/>
        <w:t>i felietonach o wyniku niezakończonego procesu</w:t>
      </w:r>
      <w:r w:rsidR="00457E4F" w:rsidRPr="00436DBB">
        <w:rPr>
          <w:i/>
          <w:sz w:val="25"/>
          <w:szCs w:val="25"/>
        </w:rPr>
        <w:t>, przynajmniej przed sądem pierwszej instancji. Nie wolno więc wydawać tzw. wyroków prasowych, a nawet określać oskarżonego jako przestępcy</w:t>
      </w:r>
      <w:r w:rsidR="00457E4F" w:rsidRPr="00436DBB">
        <w:rPr>
          <w:sz w:val="25"/>
          <w:szCs w:val="25"/>
        </w:rPr>
        <w:t>”</w:t>
      </w:r>
      <w:r w:rsidR="00BB7842" w:rsidRPr="00436DBB">
        <w:rPr>
          <w:rStyle w:val="FootnoteReference"/>
          <w:sz w:val="25"/>
          <w:szCs w:val="25"/>
        </w:rPr>
        <w:footnoteReference w:id="4"/>
      </w:r>
      <w:r w:rsidR="00457E4F" w:rsidRPr="00436DBB">
        <w:rPr>
          <w:sz w:val="25"/>
          <w:szCs w:val="25"/>
        </w:rPr>
        <w:t>.</w:t>
      </w:r>
      <w:r w:rsidR="006A779D" w:rsidRPr="00436DBB">
        <w:rPr>
          <w:sz w:val="25"/>
          <w:szCs w:val="25"/>
        </w:rPr>
        <w:t xml:space="preserve"> Zakaz ten wywodzi się nie tylko z zasady domniemania niewinności, ale także z art. 13 ust. 1 ustawy Prawo prasowe, który stanowi</w:t>
      </w:r>
      <w:r w:rsidR="00AA201F">
        <w:rPr>
          <w:sz w:val="25"/>
          <w:szCs w:val="25"/>
        </w:rPr>
        <w:t>, że</w:t>
      </w:r>
      <w:r w:rsidR="006A779D" w:rsidRPr="00436DBB">
        <w:rPr>
          <w:sz w:val="25"/>
          <w:szCs w:val="25"/>
        </w:rPr>
        <w:t xml:space="preserve"> „</w:t>
      </w:r>
      <w:r w:rsidR="006A779D" w:rsidRPr="00436DBB">
        <w:rPr>
          <w:i/>
          <w:sz w:val="25"/>
          <w:szCs w:val="25"/>
        </w:rPr>
        <w:t>n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ie wolno wypowiadać w prasie opinii co do rozstrzygnięcia w postępowaniu sądowym przed wydaniem orzeczenia w I instancji</w:t>
      </w:r>
      <w:r w:rsidR="006A779D" w:rsidRPr="00436DBB">
        <w:rPr>
          <w:rFonts w:eastAsia="Times New Roman" w:cs="mesNewRomanPSMT"/>
          <w:color w:val="000000"/>
          <w:sz w:val="25"/>
          <w:szCs w:val="25"/>
        </w:rPr>
        <w:t xml:space="preserve">”. Jednakże zakaz zawarty w prawie prasowym nie niesie ze sobą żadnych konsekwencji dla osób, które go złamią. </w:t>
      </w:r>
    </w:p>
    <w:p w:rsidR="00AA201F" w:rsidRDefault="00C6339C" w:rsidP="00AA201F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eastAsia="Times New Roman" w:cs="mesNewRoman"/>
          <w:color w:val="000000"/>
          <w:sz w:val="25"/>
          <w:szCs w:val="25"/>
        </w:rPr>
      </w:pPr>
      <w:r w:rsidRPr="00436DBB">
        <w:rPr>
          <w:rFonts w:eastAsia="Times New Roman" w:cs="mesNewRoman"/>
          <w:color w:val="000000"/>
          <w:sz w:val="25"/>
          <w:szCs w:val="25"/>
        </w:rPr>
        <w:t xml:space="preserve">Ściśle z domniemaniem niewinności łączy sie prawo do ochrony przed publikowaniem danych osobowych osób </w:t>
      </w:r>
      <w:r w:rsidR="00E2713E" w:rsidRPr="00436DBB">
        <w:rPr>
          <w:rFonts w:eastAsia="Times New Roman" w:cs="mesNewRoman"/>
          <w:color w:val="000000"/>
          <w:sz w:val="25"/>
          <w:szCs w:val="25"/>
        </w:rPr>
        <w:t>uczestniczących w toczącym się procesie</w:t>
      </w:r>
      <w:r w:rsidRPr="00436DBB">
        <w:rPr>
          <w:rFonts w:eastAsia="Times New Roman" w:cs="mesNewRoman"/>
          <w:color w:val="000000"/>
          <w:sz w:val="25"/>
          <w:szCs w:val="25"/>
        </w:rPr>
        <w:t xml:space="preserve">. </w:t>
      </w:r>
      <w:r w:rsidR="00AA201F">
        <w:rPr>
          <w:rFonts w:eastAsia="Times New Roman" w:cs="mesNewRoman"/>
          <w:color w:val="000000"/>
          <w:sz w:val="25"/>
          <w:szCs w:val="25"/>
        </w:rPr>
        <w:t xml:space="preserve">          </w:t>
      </w:r>
      <w:r w:rsidRPr="00436DBB">
        <w:rPr>
          <w:rFonts w:eastAsia="Times New Roman" w:cs="mesNewRoman"/>
          <w:color w:val="000000"/>
          <w:sz w:val="25"/>
          <w:szCs w:val="25"/>
        </w:rPr>
        <w:t>S. Waltoś wyraził pogląd, iż „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>nie będzie przesadą stwierdzenie, że to jest tylko dopełnienie powinności</w:t>
      </w:r>
      <w:r w:rsidR="00AA201F">
        <w:rPr>
          <w:rFonts w:eastAsia="Times New Roman" w:cs="mesNewRoman"/>
          <w:i/>
          <w:color w:val="000000"/>
          <w:sz w:val="25"/>
          <w:szCs w:val="25"/>
        </w:rPr>
        <w:t xml:space="preserve"> 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>wynikających z obowiązywania zasady domniemania niewinności.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 xml:space="preserve"> Każdy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 xml:space="preserve"> wyrok 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>skazujący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 xml:space="preserve"> w sprawie kryminalnej stygmatyzuje bowiem w 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>społeczeństwie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>.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 xml:space="preserve"> 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>Ale nie tylko.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 xml:space="preserve"> 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 xml:space="preserve"> 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>Każda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 xml:space="preserve"> wzmianka o prowadzeniu procesu, nawet zaledwie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 xml:space="preserve"> 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 xml:space="preserve">o podejrzeniu </w:t>
      </w:r>
      <w:r w:rsidR="00AA201F">
        <w:rPr>
          <w:rFonts w:eastAsia="Times New Roman" w:cs="mesNewRoman"/>
          <w:i/>
          <w:color w:val="000000"/>
          <w:sz w:val="25"/>
          <w:szCs w:val="25"/>
        </w:rPr>
        <w:t xml:space="preserve">                  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 xml:space="preserve">o 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>popełnieniu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 xml:space="preserve"> 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>przestępstwa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>, byle skierowanego przeciw osobie opisanej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 xml:space="preserve"> 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 xml:space="preserve">z imieniem </w:t>
      </w:r>
      <w:r w:rsidR="00AA201F">
        <w:rPr>
          <w:rFonts w:eastAsia="Times New Roman" w:cs="mesNewRoman"/>
          <w:i/>
          <w:color w:val="000000"/>
          <w:sz w:val="25"/>
          <w:szCs w:val="25"/>
        </w:rPr>
        <w:t xml:space="preserve">           </w:t>
      </w:r>
      <w:r w:rsidRPr="00436DBB">
        <w:rPr>
          <w:rFonts w:eastAsia="Times New Roman" w:cs="mesNewRoman"/>
          <w:i/>
          <w:color w:val="000000"/>
          <w:sz w:val="25"/>
          <w:szCs w:val="25"/>
        </w:rPr>
        <w:t xml:space="preserve">i nazwiskiem, jest </w:t>
      </w:r>
      <w:r w:rsidR="00E2713E" w:rsidRPr="00436DBB">
        <w:rPr>
          <w:rFonts w:eastAsia="Times New Roman" w:cs="mesNewRoman"/>
          <w:i/>
          <w:color w:val="000000"/>
          <w:sz w:val="25"/>
          <w:szCs w:val="25"/>
        </w:rPr>
        <w:t>także stygmatyzacją</w:t>
      </w:r>
      <w:r w:rsidR="00E2713E" w:rsidRPr="00436DBB">
        <w:rPr>
          <w:rFonts w:eastAsia="Times New Roman" w:cs="mesNewRoman"/>
          <w:color w:val="000000"/>
          <w:sz w:val="25"/>
          <w:szCs w:val="25"/>
        </w:rPr>
        <w:t>”</w:t>
      </w:r>
      <w:r w:rsidR="00BB7842" w:rsidRPr="00436DBB">
        <w:rPr>
          <w:rStyle w:val="FootnoteReference"/>
          <w:rFonts w:eastAsia="Times New Roman" w:cs="mesNewRoman"/>
          <w:color w:val="000000"/>
          <w:sz w:val="25"/>
          <w:szCs w:val="25"/>
        </w:rPr>
        <w:footnoteReference w:id="5"/>
      </w:r>
      <w:r w:rsidR="00E2713E" w:rsidRPr="00436DBB">
        <w:rPr>
          <w:rFonts w:eastAsia="Times New Roman" w:cs="mesNewRoman"/>
          <w:color w:val="000000"/>
          <w:sz w:val="25"/>
          <w:szCs w:val="25"/>
        </w:rPr>
        <w:t xml:space="preserve">. </w:t>
      </w:r>
    </w:p>
    <w:p w:rsidR="006A779D" w:rsidRPr="00436DBB" w:rsidRDefault="00E2713E" w:rsidP="00AA201F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eastAsia="Times New Roman" w:cs="mesNewRomanPSMT"/>
          <w:color w:val="000000"/>
          <w:sz w:val="25"/>
          <w:szCs w:val="25"/>
        </w:rPr>
      </w:pPr>
      <w:r w:rsidRPr="00436DBB">
        <w:rPr>
          <w:rFonts w:eastAsia="Times New Roman" w:cs="mesNewRoman"/>
          <w:color w:val="000000"/>
          <w:sz w:val="25"/>
          <w:szCs w:val="25"/>
        </w:rPr>
        <w:t>Prawo prasowe mówi w art. 13 ust. 2 i 3</w:t>
      </w:r>
      <w:r w:rsidR="00AA201F">
        <w:rPr>
          <w:rFonts w:eastAsia="Times New Roman" w:cs="mesNewRoman"/>
          <w:color w:val="000000"/>
          <w:sz w:val="25"/>
          <w:szCs w:val="25"/>
        </w:rPr>
        <w:t>:</w:t>
      </w:r>
      <w:r w:rsidRPr="00436DBB">
        <w:rPr>
          <w:rFonts w:eastAsia="Times New Roman" w:cs="mesNewRoman"/>
          <w:color w:val="000000"/>
          <w:sz w:val="25"/>
          <w:szCs w:val="25"/>
        </w:rPr>
        <w:t xml:space="preserve"> „ 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2. Nie wolno publikować w prasie danych osobowych i wizerunku osób,</w:t>
      </w:r>
      <w:r w:rsidRPr="00436DBB">
        <w:rPr>
          <w:rFonts w:eastAsia="Times New Roman" w:cs="mesNewRomanPSMT"/>
          <w:i/>
          <w:color w:val="000000"/>
          <w:sz w:val="25"/>
          <w:szCs w:val="25"/>
        </w:rPr>
        <w:t xml:space="preserve"> 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przeciwko którym toczy sie postępowanie przygotowawcze lub sadowe, jak również</w:t>
      </w:r>
      <w:r w:rsidRPr="00436DBB">
        <w:rPr>
          <w:rFonts w:eastAsia="Times New Roman" w:cs="mesNewRomanPSMT"/>
          <w:i/>
          <w:color w:val="000000"/>
          <w:sz w:val="25"/>
          <w:szCs w:val="25"/>
        </w:rPr>
        <w:t xml:space="preserve"> 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danych osobowych i wizerunku świadków, pokrzywdzonych i poszkodowanych,</w:t>
      </w:r>
      <w:r w:rsidRPr="00436DBB">
        <w:rPr>
          <w:rFonts w:eastAsia="Times New Roman" w:cs="mesNewRomanPSMT"/>
          <w:i/>
          <w:color w:val="000000"/>
          <w:sz w:val="25"/>
          <w:szCs w:val="25"/>
        </w:rPr>
        <w:t xml:space="preserve"> 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chyba ze osoby te wyraża na to zgodę.</w:t>
      </w:r>
      <w:r w:rsidRPr="00436DBB">
        <w:rPr>
          <w:rFonts w:eastAsia="Times New Roman" w:cs="mesNewRomanPSMT"/>
          <w:i/>
          <w:color w:val="000000"/>
          <w:sz w:val="25"/>
          <w:szCs w:val="25"/>
        </w:rPr>
        <w:t xml:space="preserve"> </w:t>
      </w:r>
      <w:r w:rsidR="00AA201F">
        <w:rPr>
          <w:rFonts w:eastAsia="Times New Roman" w:cs="mesNewRomanPSMT"/>
          <w:i/>
          <w:color w:val="000000"/>
          <w:sz w:val="25"/>
          <w:szCs w:val="25"/>
        </w:rPr>
        <w:t xml:space="preserve">                       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3.</w:t>
      </w:r>
      <w:r w:rsidRPr="00436DBB">
        <w:rPr>
          <w:rFonts w:eastAsia="Times New Roman" w:cs="mesNewRomanPSMT"/>
          <w:i/>
          <w:color w:val="000000"/>
          <w:sz w:val="25"/>
          <w:szCs w:val="25"/>
        </w:rPr>
        <w:t xml:space="preserve"> 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Ograniczenie, o którym mowa w ust. 2, nie narusza przepisów innych</w:t>
      </w:r>
      <w:r w:rsidRPr="00436DBB">
        <w:rPr>
          <w:rFonts w:eastAsia="Times New Roman" w:cs="mesNewRomanPSMT"/>
          <w:i/>
          <w:color w:val="000000"/>
          <w:sz w:val="25"/>
          <w:szCs w:val="25"/>
        </w:rPr>
        <w:t xml:space="preserve"> 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ustaw. Właściwy prokurator lub sad może zezwolić, ze względu na ważny interes</w:t>
      </w:r>
      <w:r w:rsidRPr="00436DBB">
        <w:rPr>
          <w:rFonts w:eastAsia="Times New Roman" w:cs="mesNewRomanPSMT"/>
          <w:i/>
          <w:color w:val="000000"/>
          <w:sz w:val="25"/>
          <w:szCs w:val="25"/>
        </w:rPr>
        <w:t xml:space="preserve"> 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społeczny, na ujawnienie danych osobowych i wizerunku osób, przeciwko którym</w:t>
      </w:r>
      <w:r w:rsidRPr="00436DBB">
        <w:rPr>
          <w:rFonts w:eastAsia="Times New Roman" w:cs="mesNewRomanPSMT"/>
          <w:i/>
          <w:color w:val="000000"/>
          <w:sz w:val="25"/>
          <w:szCs w:val="25"/>
        </w:rPr>
        <w:t xml:space="preserve"> </w:t>
      </w:r>
      <w:r w:rsidR="006A779D" w:rsidRPr="00436DBB">
        <w:rPr>
          <w:rFonts w:eastAsia="Times New Roman" w:cs="mesNewRomanPSMT"/>
          <w:i/>
          <w:color w:val="000000"/>
          <w:sz w:val="25"/>
          <w:szCs w:val="25"/>
        </w:rPr>
        <w:t>toczy sie postępowanie przygotowawcze lub sadowe.</w:t>
      </w:r>
      <w:r w:rsidRPr="00436DBB">
        <w:rPr>
          <w:rFonts w:eastAsia="Times New Roman" w:cs="mesNewRomanPSMT"/>
          <w:i/>
          <w:color w:val="000000"/>
          <w:sz w:val="25"/>
          <w:szCs w:val="25"/>
        </w:rPr>
        <w:t xml:space="preserve">” </w:t>
      </w:r>
      <w:r w:rsidRPr="00436DBB">
        <w:rPr>
          <w:rFonts w:eastAsia="Times New Roman" w:cs="mesNewRomanPSMT"/>
          <w:color w:val="000000"/>
          <w:sz w:val="25"/>
          <w:szCs w:val="25"/>
        </w:rPr>
        <w:t>Regulacja ta ma na celu ochronę dóbr osobistych uczestników procesu, np. ich godności, dobrego imienia, bezpieczeństwa (szczególnie</w:t>
      </w:r>
      <w:r w:rsidR="00DF1848">
        <w:rPr>
          <w:rFonts w:eastAsia="Times New Roman" w:cs="mesNewRomanPSMT"/>
          <w:color w:val="000000"/>
          <w:sz w:val="25"/>
          <w:szCs w:val="25"/>
        </w:rPr>
        <w:t xml:space="preserve">    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w przypadku świadków), a także zapewniać traktowanie oskarżonego jako niewinnego do czasu uprawomocnienia się wyroku.</w:t>
      </w:r>
    </w:p>
    <w:p w:rsidR="009B63B3" w:rsidRPr="00436DBB" w:rsidRDefault="009B63B3" w:rsidP="00436DBB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 w:cs="mesNewRomanPSMT"/>
          <w:color w:val="000000"/>
          <w:sz w:val="25"/>
          <w:szCs w:val="25"/>
        </w:rPr>
      </w:pPr>
      <w:r w:rsidRPr="00436DBB">
        <w:rPr>
          <w:rFonts w:eastAsia="Times New Roman" w:cs="mesNewRomanPSMT"/>
          <w:color w:val="000000"/>
          <w:sz w:val="25"/>
          <w:szCs w:val="25"/>
        </w:rPr>
        <w:tab/>
        <w:t>Czy w Rzeczpospolitej Polskiej, państwie prawa, domniemanie niewinności jest respektowane? Na to pytanie nie da się udzielić jednej zbiorczej odpowiedzi. Praktyka pokazuje, że w Polsce napotykamy na wiele przypadków łamania praw</w:t>
      </w:r>
      <w:r w:rsidR="006D29A7" w:rsidRPr="00436DBB">
        <w:rPr>
          <w:rFonts w:eastAsia="Times New Roman" w:cs="mesNewRomanPSMT"/>
          <w:color w:val="000000"/>
          <w:sz w:val="25"/>
          <w:szCs w:val="25"/>
        </w:rPr>
        <w:t>a oskarżonego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do pozostawania niewinnym aż do wydania wyroku.</w:t>
      </w:r>
      <w:r w:rsidR="00DF1848">
        <w:rPr>
          <w:rFonts w:eastAsia="Times New Roman" w:cs="mesNewRomanPSMT"/>
          <w:color w:val="000000"/>
          <w:sz w:val="25"/>
          <w:szCs w:val="25"/>
        </w:rPr>
        <w:t xml:space="preserve"> Jest dość poważny problem polskiej rzeczywistości.</w:t>
      </w:r>
    </w:p>
    <w:p w:rsidR="009671A8" w:rsidRPr="00436DBB" w:rsidRDefault="009B63B3" w:rsidP="00436DBB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eastAsia="Times New Roman" w:cs="mesNewRomanPSMT"/>
          <w:color w:val="000000"/>
          <w:sz w:val="25"/>
          <w:szCs w:val="25"/>
        </w:rPr>
      </w:pPr>
      <w:r w:rsidRPr="00436DBB">
        <w:rPr>
          <w:rFonts w:eastAsia="Times New Roman" w:cs="mesNewRomanPSMT"/>
          <w:color w:val="000000"/>
          <w:sz w:val="25"/>
          <w:szCs w:val="25"/>
        </w:rPr>
        <w:t xml:space="preserve">Wydawałoby się, iż w aspekcie procesowym nie będzie problemów </w:t>
      </w:r>
      <w:r w:rsidR="00DF1848">
        <w:rPr>
          <w:rFonts w:eastAsia="Times New Roman" w:cs="mesNewRomanPSMT"/>
          <w:color w:val="000000"/>
          <w:sz w:val="25"/>
          <w:szCs w:val="25"/>
        </w:rPr>
        <w:t xml:space="preserve">                           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z przestrzeganiem zasady domniemania niewinności. W końcu mowa tu o sądzie, prokuratorach, ludziach kształconych przez uczelnie prawnicze, posiadających dokładną wiedzę odnośnie praw oskarżonego oraz tego, czego nie wolno robić w trakcie </w:t>
      </w:r>
      <w:r w:rsidR="00DF1848">
        <w:rPr>
          <w:rFonts w:eastAsia="Times New Roman" w:cs="mesNewRomanPSMT"/>
          <w:color w:val="000000"/>
          <w:sz w:val="25"/>
          <w:szCs w:val="25"/>
        </w:rPr>
        <w:t>przeprowadzania czynności procesowych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. W dużej mierze jest to zgodne z prawdą. Organy procesowe raczej ostrożnie podchodzą do wydawania </w:t>
      </w:r>
      <w:r w:rsidR="006D29A7" w:rsidRPr="00436DBB">
        <w:rPr>
          <w:rFonts w:eastAsia="Times New Roman" w:cs="mesNewRomanPSMT"/>
          <w:color w:val="000000"/>
          <w:sz w:val="25"/>
          <w:szCs w:val="25"/>
        </w:rPr>
        <w:t>zbyt wczesnych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osądów</w:t>
      </w:r>
      <w:r w:rsidR="00DF1848">
        <w:rPr>
          <w:rFonts w:eastAsia="Times New Roman" w:cs="mesNewRomanPSMT"/>
          <w:color w:val="000000"/>
          <w:sz w:val="25"/>
          <w:szCs w:val="25"/>
        </w:rPr>
        <w:t xml:space="preserve">           </w:t>
      </w:r>
      <w:r w:rsidR="006D29A7" w:rsidRPr="00436DBB">
        <w:rPr>
          <w:rFonts w:eastAsia="Times New Roman" w:cs="mesNewRomanPSMT"/>
          <w:color w:val="000000"/>
          <w:sz w:val="25"/>
          <w:szCs w:val="25"/>
        </w:rPr>
        <w:t xml:space="preserve"> </w:t>
      </w:r>
      <w:r w:rsidR="006D29A7" w:rsidRPr="00436DBB">
        <w:rPr>
          <w:rFonts w:eastAsia="Times New Roman" w:cs="mesNewRomanPSMT"/>
          <w:color w:val="000000"/>
          <w:sz w:val="25"/>
          <w:szCs w:val="25"/>
        </w:rPr>
        <w:lastRenderedPageBreak/>
        <w:t>i unikają zachowań mogących wskazywać na przedwczesne uznanie za winnego</w:t>
      </w:r>
      <w:r w:rsidRPr="00436DBB">
        <w:rPr>
          <w:rFonts w:eastAsia="Times New Roman" w:cs="mesNewRomanPSMT"/>
          <w:color w:val="000000"/>
          <w:sz w:val="25"/>
          <w:szCs w:val="25"/>
        </w:rPr>
        <w:t>. Je</w:t>
      </w:r>
      <w:r w:rsidR="006D29A7" w:rsidRPr="00436DBB">
        <w:rPr>
          <w:rFonts w:eastAsia="Times New Roman" w:cs="mesNewRomanPSMT"/>
          <w:color w:val="000000"/>
          <w:sz w:val="25"/>
          <w:szCs w:val="25"/>
        </w:rPr>
        <w:t>dnakże pojawiają się sprawy, w których organy procesowe mają z tym problem.</w:t>
      </w:r>
    </w:p>
    <w:p w:rsidR="009671A8" w:rsidRPr="00436DBB" w:rsidRDefault="006D29A7" w:rsidP="00DF1848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eastAsia="Times New Roman" w:cs="mesNewRomanPSMT"/>
          <w:i/>
          <w:color w:val="000000"/>
          <w:sz w:val="25"/>
          <w:szCs w:val="25"/>
        </w:rPr>
      </w:pPr>
      <w:r w:rsidRPr="00436DBB">
        <w:rPr>
          <w:rFonts w:eastAsia="Times New Roman" w:cs="mesNewRomanPSMT"/>
          <w:color w:val="000000"/>
          <w:sz w:val="25"/>
          <w:szCs w:val="25"/>
        </w:rPr>
        <w:t xml:space="preserve">Jednym z takich przypadków jest sprawa </w:t>
      </w:r>
      <w:r w:rsidR="009671A8" w:rsidRPr="009A41ED">
        <w:rPr>
          <w:rFonts w:eastAsia="Times New Roman" w:cs="mesNewRomanPSMT"/>
          <w:color w:val="000000"/>
          <w:sz w:val="25"/>
          <w:szCs w:val="25"/>
        </w:rPr>
        <w:t>Garycki</w:t>
      </w:r>
      <w:r w:rsidRPr="009A41ED">
        <w:rPr>
          <w:rFonts w:eastAsia="Times New Roman" w:cs="mesNewRomanPSMT"/>
          <w:color w:val="000000"/>
          <w:sz w:val="25"/>
          <w:szCs w:val="25"/>
        </w:rPr>
        <w:t xml:space="preserve"> przeciwko Polsce (skarga </w:t>
      </w:r>
      <w:r w:rsidR="009A41ED">
        <w:rPr>
          <w:rFonts w:eastAsia="Times New Roman" w:cs="mesNewRomanPSMT"/>
          <w:color w:val="000000"/>
          <w:sz w:val="25"/>
          <w:szCs w:val="25"/>
        </w:rPr>
        <w:t xml:space="preserve">               </w:t>
      </w:r>
      <w:r w:rsidRPr="009A41ED">
        <w:rPr>
          <w:rFonts w:eastAsia="Times New Roman" w:cs="mesNewRomanPSMT"/>
          <w:color w:val="000000"/>
          <w:sz w:val="25"/>
          <w:szCs w:val="25"/>
        </w:rPr>
        <w:t xml:space="preserve">nr 14348/02) rozpatrzona przez Europejski Trybunał Praw Człowieka w wyroku </w:t>
      </w:r>
      <w:r w:rsidR="009A41ED">
        <w:rPr>
          <w:rFonts w:eastAsia="Times New Roman" w:cs="mesNewRomanPSMT"/>
          <w:color w:val="000000"/>
          <w:sz w:val="25"/>
          <w:szCs w:val="25"/>
        </w:rPr>
        <w:t xml:space="preserve">                          </w:t>
      </w:r>
      <w:r w:rsidRPr="009A41ED">
        <w:rPr>
          <w:rFonts w:eastAsia="Times New Roman" w:cs="mesNewRomanPSMT"/>
          <w:color w:val="000000"/>
          <w:sz w:val="25"/>
          <w:szCs w:val="25"/>
        </w:rPr>
        <w:t>z dnia 06.02.2007r.</w:t>
      </w:r>
      <w:r w:rsidR="009A41ED">
        <w:rPr>
          <w:rFonts w:eastAsia="Times New Roman" w:cs="mesNewRomanPSMT"/>
          <w:color w:val="000000"/>
          <w:sz w:val="25"/>
          <w:szCs w:val="25"/>
        </w:rPr>
        <w:t xml:space="preserve"> </w:t>
      </w:r>
      <w:r w:rsidR="009671A8" w:rsidRPr="00436DBB">
        <w:rPr>
          <w:rFonts w:eastAsia="Times New Roman" w:cs="mesNewRomanPSMT"/>
          <w:color w:val="000000"/>
          <w:sz w:val="25"/>
          <w:szCs w:val="25"/>
        </w:rPr>
        <w:t xml:space="preserve">Adw. Bogdana Słupska-Uczkiewicz – pełnomocnik skarżącego </w:t>
      </w:r>
      <w:r w:rsidR="009A41ED">
        <w:rPr>
          <w:rFonts w:eastAsia="Times New Roman" w:cs="mesNewRomanPSMT"/>
          <w:color w:val="000000"/>
          <w:sz w:val="25"/>
          <w:szCs w:val="25"/>
        </w:rPr>
        <w:t xml:space="preserve">                  </w:t>
      </w:r>
      <w:r w:rsidR="009671A8" w:rsidRPr="00436DBB">
        <w:rPr>
          <w:rFonts w:eastAsia="Times New Roman" w:cs="mesNewRomanPSMT"/>
          <w:color w:val="000000"/>
          <w:sz w:val="25"/>
          <w:szCs w:val="25"/>
        </w:rPr>
        <w:t>w postępowaniu przed Europejskim Trybunałem Praw Człowieka w Strasburgu, opisała sprawę swego klienta w następujący sposób</w:t>
      </w:r>
      <w:r w:rsidR="009A41ED">
        <w:rPr>
          <w:rFonts w:eastAsia="Times New Roman" w:cs="mesNewRomanPSMT"/>
          <w:color w:val="000000"/>
          <w:sz w:val="25"/>
          <w:szCs w:val="25"/>
        </w:rPr>
        <w:t xml:space="preserve">: </w:t>
      </w:r>
      <w:r w:rsidR="009671A8" w:rsidRPr="00436DBB">
        <w:rPr>
          <w:rFonts w:eastAsia="Times New Roman" w:cs="mesNewRomanPSMT"/>
          <w:color w:val="000000"/>
          <w:sz w:val="25"/>
          <w:szCs w:val="25"/>
        </w:rPr>
        <w:t>„</w:t>
      </w:r>
      <w:r w:rsidR="009671A8" w:rsidRPr="00436DBB">
        <w:rPr>
          <w:rFonts w:eastAsia="Times New Roman" w:cs="mesNewRomanPSMT"/>
          <w:i/>
          <w:color w:val="000000"/>
          <w:sz w:val="25"/>
          <w:szCs w:val="25"/>
        </w:rPr>
        <w:t xml:space="preserve">Skarżący , w gronie innych osób został tymczasowo aresztowany pod zarzutem popełnienia licznych przestępstw kryminalnych. Sąd Apelacyjny rozpoznając jego zażalenie na kolejne przedłużenie tymczasowego aresztowania, w uzasadnieniu swego postanowienia użył stwierdzenia, że oskarżeni </w:t>
      </w:r>
      <w:r w:rsidR="009A41ED">
        <w:rPr>
          <w:rFonts w:eastAsia="Times New Roman" w:cs="mesNewRomanPSMT"/>
          <w:i/>
          <w:color w:val="000000"/>
          <w:sz w:val="25"/>
          <w:szCs w:val="25"/>
        </w:rPr>
        <w:t xml:space="preserve">              </w:t>
      </w:r>
      <w:r w:rsidR="009671A8" w:rsidRPr="00436DBB">
        <w:rPr>
          <w:rFonts w:eastAsia="Times New Roman" w:cs="mesNewRomanPSMT"/>
          <w:i/>
          <w:color w:val="000000"/>
          <w:sz w:val="25"/>
          <w:szCs w:val="25"/>
        </w:rPr>
        <w:t>a wśród nich i skarżący „</w:t>
      </w:r>
      <w:r w:rsidR="009671A8" w:rsidRPr="00436DBB">
        <w:rPr>
          <w:rFonts w:eastAsia="Times New Roman" w:cs="mesNewRomanPSMT"/>
          <w:i/>
          <w:color w:val="000000"/>
          <w:sz w:val="25"/>
          <w:szCs w:val="25"/>
          <w:u w:val="single"/>
        </w:rPr>
        <w:t>popełnili zarzucane im przestępstwa</w:t>
      </w:r>
      <w:r w:rsidR="009671A8" w:rsidRPr="00436DBB">
        <w:rPr>
          <w:rFonts w:eastAsia="Times New Roman" w:cs="mesNewRomanPSMT"/>
          <w:i/>
          <w:color w:val="000000"/>
          <w:sz w:val="25"/>
          <w:szCs w:val="25"/>
        </w:rPr>
        <w:t xml:space="preserve">”. Grzegorz G. w skardze do Europejskiego Trybunału Praw Człowieka w Strasburgu zarzucił, iż doszło do naruszenia zasady domniemania niewinności  na skutek stanowczego oświadczenia sądu, iż oskarżony popełnił zarzucany mu czyn przed wydaniem wyroku w jego sprawie. </w:t>
      </w:r>
      <w:r w:rsidR="009A41ED">
        <w:rPr>
          <w:rFonts w:eastAsia="Times New Roman" w:cs="mesNewRomanPSMT"/>
          <w:i/>
          <w:color w:val="000000"/>
          <w:sz w:val="25"/>
          <w:szCs w:val="25"/>
        </w:rPr>
        <w:t xml:space="preserve">                   </w:t>
      </w:r>
      <w:r w:rsidR="009671A8" w:rsidRPr="00436DBB">
        <w:rPr>
          <w:rFonts w:eastAsia="Times New Roman" w:cs="mesNewRomanPSMT"/>
          <w:i/>
          <w:color w:val="000000"/>
          <w:sz w:val="25"/>
          <w:szCs w:val="25"/>
        </w:rPr>
        <w:t>W postępowaniu przed Trybunałem Rząd RP argumentował, że w kwestionowanym orzeczeniu sąd odniósł się jedynie do istnienia dowodów  wskazujących na prawdopodobieństwo popełnienia zarzucanych im czynów, a nie do kwestii jego winy bądź niewinności.</w:t>
      </w:r>
      <w:r w:rsidR="00BB7842" w:rsidRPr="00436DBB">
        <w:rPr>
          <w:rStyle w:val="FootnoteReference"/>
          <w:rFonts w:eastAsia="Times New Roman" w:cs="mesNewRomanPSMT"/>
          <w:i/>
          <w:color w:val="000000"/>
          <w:sz w:val="25"/>
          <w:szCs w:val="25"/>
        </w:rPr>
        <w:footnoteReference w:id="6"/>
      </w:r>
      <w:r w:rsidR="009671A8" w:rsidRPr="00436DBB">
        <w:rPr>
          <w:rFonts w:eastAsia="Times New Roman" w:cs="mesNewRomanPSMT"/>
          <w:i/>
          <w:color w:val="000000"/>
          <w:sz w:val="25"/>
          <w:szCs w:val="25"/>
        </w:rPr>
        <w:t xml:space="preserve">”  </w:t>
      </w:r>
    </w:p>
    <w:p w:rsidR="009B63B3" w:rsidRPr="00436DBB" w:rsidRDefault="009671A8" w:rsidP="009A41ED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eastAsia="Times New Roman" w:cs="mesNewRomanPSMT"/>
          <w:color w:val="000000"/>
          <w:sz w:val="25"/>
          <w:szCs w:val="25"/>
        </w:rPr>
      </w:pPr>
      <w:r w:rsidRPr="00436DBB">
        <w:rPr>
          <w:rFonts w:eastAsia="Times New Roman" w:cs="mesNewRomanPSMT"/>
          <w:color w:val="000000"/>
          <w:sz w:val="25"/>
          <w:szCs w:val="25"/>
        </w:rPr>
        <w:t xml:space="preserve">Trybunał 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>nie zgodził się ze stanowiskiem polskiego rządu i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 podkreśli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 xml:space="preserve">ł, że należy dokonać zasadniczego 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rozróżnienia pomiędzy 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>podejrzewaniem kogoś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o popełnienie przestępstwa, 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 xml:space="preserve">a jasnym sądowym stwierdzeniem (bez prawomocnego wyroku), że dana osoba popełniła 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przestępstwo. Z uwagi na 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>znaczenie użytych słów oraz kontekst zaskarżonego orzeczenia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, Trybunał uznał, 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>iż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sprowadzało się ono do ogłoszenia winy skarżącego, zanim został on uznany winnym w trybie 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>zgodnym z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prawem. Podkreślił przy tym, że 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>nic nie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usprawiedliwi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 xml:space="preserve">a 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sądu, który </w:t>
      </w:r>
      <w:r w:rsidR="00937F2B" w:rsidRPr="00436DBB">
        <w:rPr>
          <w:rFonts w:eastAsia="Times New Roman" w:cs="mesNewRomanPSMT"/>
          <w:color w:val="000000"/>
          <w:sz w:val="25"/>
          <w:szCs w:val="25"/>
        </w:rPr>
        <w:t>dopuścił się wyrażenia tego typu przedwczesnej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opinii. </w:t>
      </w:r>
      <w:r w:rsidR="00C8367F" w:rsidRPr="00436DBB">
        <w:rPr>
          <w:rFonts w:eastAsia="Times New Roman" w:cs="mesNewRomanPSMT"/>
          <w:color w:val="000000"/>
          <w:sz w:val="25"/>
          <w:szCs w:val="25"/>
        </w:rPr>
        <w:t>Do tego orzeczenia odniósł się</w:t>
      </w:r>
      <w:r w:rsidR="002D646F" w:rsidRPr="00436DBB">
        <w:rPr>
          <w:rFonts w:eastAsia="Times New Roman" w:cs="mesNewRomanPSMT"/>
          <w:color w:val="000000"/>
          <w:sz w:val="25"/>
          <w:szCs w:val="25"/>
        </w:rPr>
        <w:t xml:space="preserve"> także Szymon Janczarek, który zwraca uwagę</w:t>
      </w:r>
      <w:r w:rsidR="00C8367F" w:rsidRPr="00436DBB">
        <w:rPr>
          <w:rFonts w:eastAsia="Times New Roman" w:cs="mesNewRomanPSMT"/>
          <w:color w:val="000000"/>
          <w:sz w:val="25"/>
          <w:szCs w:val="25"/>
        </w:rPr>
        <w:t xml:space="preserve"> na fakt, iż nawet tak małe </w:t>
      </w:r>
      <w:r w:rsidR="002D646F" w:rsidRPr="00436DBB">
        <w:rPr>
          <w:rFonts w:eastAsia="Times New Roman" w:cs="mesNewRomanPSMT"/>
          <w:color w:val="000000"/>
          <w:sz w:val="25"/>
          <w:szCs w:val="25"/>
        </w:rPr>
        <w:t xml:space="preserve">omyłki językowe, mogą mieć bardzo poważne </w:t>
      </w:r>
      <w:r w:rsidR="009A41ED">
        <w:rPr>
          <w:rFonts w:eastAsia="Times New Roman" w:cs="mesNewRomanPSMT"/>
          <w:color w:val="000000"/>
          <w:sz w:val="25"/>
          <w:szCs w:val="25"/>
        </w:rPr>
        <w:t>konsekwencje</w:t>
      </w:r>
      <w:r w:rsidR="00AD7D62" w:rsidRPr="00436DBB">
        <w:rPr>
          <w:rStyle w:val="FootnoteReference"/>
          <w:rFonts w:eastAsia="Times New Roman" w:cs="mesNewRomanPSMT"/>
          <w:color w:val="000000"/>
          <w:sz w:val="25"/>
          <w:szCs w:val="25"/>
        </w:rPr>
        <w:footnoteReference w:id="7"/>
      </w:r>
      <w:r w:rsidR="002D646F" w:rsidRPr="00436DBB">
        <w:rPr>
          <w:rFonts w:eastAsia="Times New Roman" w:cs="mesNewRomanPSMT"/>
          <w:color w:val="000000"/>
          <w:sz w:val="25"/>
          <w:szCs w:val="25"/>
        </w:rPr>
        <w:t>.</w:t>
      </w:r>
      <w:r w:rsidR="00C8367F" w:rsidRPr="00436DBB">
        <w:rPr>
          <w:rFonts w:eastAsia="Times New Roman" w:cs="mesNewRomanPSMT"/>
          <w:color w:val="000000"/>
          <w:sz w:val="25"/>
          <w:szCs w:val="25"/>
        </w:rPr>
        <w:t xml:space="preserve"> </w:t>
      </w:r>
    </w:p>
    <w:p w:rsidR="002D646F" w:rsidRPr="00436DBB" w:rsidRDefault="002D646F" w:rsidP="00436DBB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 w:cs="mesNewRomanPSMT"/>
          <w:color w:val="000000"/>
          <w:sz w:val="25"/>
          <w:szCs w:val="25"/>
        </w:rPr>
      </w:pPr>
      <w:r w:rsidRPr="00436DBB">
        <w:rPr>
          <w:rFonts w:eastAsia="Times New Roman" w:cs="mesNewRomanPSMT"/>
          <w:color w:val="000000"/>
          <w:sz w:val="25"/>
          <w:szCs w:val="25"/>
        </w:rPr>
        <w:tab/>
        <w:t xml:space="preserve">Tymczasem w aspekcie pozaprocesowym do tego typu sytuacji (jak </w:t>
      </w:r>
      <w:r w:rsidR="00C8367F" w:rsidRPr="00436DBB">
        <w:rPr>
          <w:rFonts w:eastAsia="Times New Roman" w:cs="mesNewRomanPSMT"/>
          <w:color w:val="000000"/>
          <w:sz w:val="25"/>
          <w:szCs w:val="25"/>
        </w:rPr>
        <w:t>przedstawiona powyżej) dochodzi zdecydowanie częściej. Nie są to pojedyncze przypadki</w:t>
      </w:r>
      <w:r w:rsidR="00E7115B" w:rsidRPr="00436DBB">
        <w:rPr>
          <w:rFonts w:eastAsia="Times New Roman" w:cs="mesNewRomanPSMT"/>
          <w:color w:val="000000"/>
          <w:sz w:val="25"/>
          <w:szCs w:val="25"/>
        </w:rPr>
        <w:t xml:space="preserve">, które służyć mogą za przykład „wyjątku potwierdzającego regułę”. </w:t>
      </w:r>
      <w:r w:rsidR="007619BD" w:rsidRPr="00436DBB">
        <w:rPr>
          <w:rFonts w:eastAsia="Times New Roman" w:cs="mesNewRomanPSMT"/>
          <w:color w:val="000000"/>
          <w:sz w:val="25"/>
          <w:szCs w:val="25"/>
        </w:rPr>
        <w:t>Do braku respektowania domniemania niewinności najczęściej dochodzi na łamach prasy oraz w telewizji</w:t>
      </w:r>
      <w:r w:rsidR="009A41ED">
        <w:rPr>
          <w:rFonts w:eastAsia="Times New Roman" w:cs="mesNewRomanPSMT"/>
          <w:color w:val="000000"/>
          <w:sz w:val="25"/>
          <w:szCs w:val="25"/>
        </w:rPr>
        <w:t xml:space="preserve">                  </w:t>
      </w:r>
      <w:r w:rsidR="007619BD" w:rsidRPr="00436DBB">
        <w:rPr>
          <w:rFonts w:eastAsia="Times New Roman" w:cs="mesNewRomanPSMT"/>
          <w:color w:val="000000"/>
          <w:sz w:val="25"/>
          <w:szCs w:val="25"/>
        </w:rPr>
        <w:t xml:space="preserve"> i Internecie. Ostatnimi czasy coraz częściej dochodzi tam do wyrażania przez dziennikarzy osądów, które jasno wskazują, że osoba oskarżona jest winna zarzuconych jej czynów </w:t>
      </w:r>
      <w:r w:rsidR="009A41ED">
        <w:rPr>
          <w:rFonts w:eastAsia="Times New Roman" w:cs="mesNewRomanPSMT"/>
          <w:color w:val="000000"/>
          <w:sz w:val="25"/>
          <w:szCs w:val="25"/>
        </w:rPr>
        <w:t xml:space="preserve">             </w:t>
      </w:r>
      <w:r w:rsidR="007619BD" w:rsidRPr="00436DBB">
        <w:rPr>
          <w:rFonts w:eastAsia="Times New Roman" w:cs="mesNewRomanPSMT"/>
          <w:color w:val="000000"/>
          <w:sz w:val="25"/>
          <w:szCs w:val="25"/>
        </w:rPr>
        <w:t xml:space="preserve">i powinna zostać skazana w procesie. Dlaczego dochodzi do takich sytuacji? Czynników mających wpływ na spopularyzowanie zamieszczania w mediach ocennych opinii na </w:t>
      </w:r>
      <w:r w:rsidR="007619BD" w:rsidRPr="00436DBB">
        <w:rPr>
          <w:rFonts w:eastAsia="Times New Roman" w:cs="mesNewRomanPSMT"/>
          <w:color w:val="000000"/>
          <w:sz w:val="25"/>
          <w:szCs w:val="25"/>
        </w:rPr>
        <w:lastRenderedPageBreak/>
        <w:t>temat oskarżonych w procesach karnych (szczególnie w sytuacji, gdy jest to osoba publiczna) jest kilka.</w:t>
      </w:r>
    </w:p>
    <w:p w:rsidR="00E7115B" w:rsidRPr="00436DBB" w:rsidRDefault="00E7115B" w:rsidP="00436DBB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rFonts w:eastAsia="Times New Roman" w:cs="nturyOldStyTEE"/>
          <w:color w:val="000000"/>
          <w:sz w:val="25"/>
          <w:szCs w:val="25"/>
        </w:rPr>
      </w:pPr>
      <w:r w:rsidRPr="00436DBB">
        <w:rPr>
          <w:rFonts w:eastAsia="Times New Roman" w:cs="mesNewRomanPSMT"/>
          <w:color w:val="000000"/>
          <w:sz w:val="25"/>
          <w:szCs w:val="25"/>
        </w:rPr>
        <w:t xml:space="preserve">Pierwszym z nich jest czynnik psychologiczny. Jak się okazuje, </w:t>
      </w:r>
      <w:r w:rsidRPr="00436DBB">
        <w:rPr>
          <w:rFonts w:eastAsia="Times New Roman" w:cs="nturyOldStyTEE"/>
          <w:color w:val="000000"/>
          <w:sz w:val="25"/>
          <w:szCs w:val="25"/>
        </w:rPr>
        <w:t>w społeczeństwie panuje skłonność do zawierzania (choćby najbardziej niewiarygodnym) informacjom niekorzystnym dla innych ludzi (np. dotyczącym rzekomego popełnienia przez nich przestępstwa), do słuchania plotek i szybkiego akceptowania ich jako w pełni udowodnionej prawdy.</w:t>
      </w:r>
      <w:r w:rsidR="007619BD" w:rsidRPr="00436DBB">
        <w:rPr>
          <w:rFonts w:eastAsia="Times New Roman" w:cs="nturyOldStyTEE"/>
          <w:color w:val="000000"/>
          <w:sz w:val="25"/>
          <w:szCs w:val="25"/>
        </w:rPr>
        <w:t xml:space="preserve"> </w:t>
      </w:r>
      <w:r w:rsidR="00576C77" w:rsidRPr="00436DBB">
        <w:rPr>
          <w:rFonts w:eastAsia="Times New Roman" w:cs="nturyOldStyTEE"/>
          <w:color w:val="000000"/>
          <w:sz w:val="25"/>
          <w:szCs w:val="25"/>
        </w:rPr>
        <w:t xml:space="preserve">Tzw. massmedia mają duży wpływ na kształtowanie opinii społeczeństwa ze względu na </w:t>
      </w:r>
      <w:r w:rsidR="0075549B" w:rsidRPr="00436DBB">
        <w:rPr>
          <w:rFonts w:eastAsia="Times New Roman" w:cs="nturyOldStyTEE"/>
          <w:color w:val="000000"/>
          <w:sz w:val="25"/>
          <w:szCs w:val="25"/>
        </w:rPr>
        <w:t>przeświadczenie</w:t>
      </w:r>
      <w:r w:rsidR="00576C77" w:rsidRPr="00436DBB">
        <w:rPr>
          <w:rFonts w:eastAsia="Times New Roman" w:cs="nturyOldStyTEE"/>
          <w:color w:val="000000"/>
          <w:sz w:val="25"/>
          <w:szCs w:val="25"/>
        </w:rPr>
        <w:t xml:space="preserve">, iż „jeśli coś zostało opublikowane w gazecie/telewizji, to musi być prawdziwe”. </w:t>
      </w:r>
      <w:r w:rsidR="007619BD" w:rsidRPr="00436DBB">
        <w:rPr>
          <w:rFonts w:eastAsia="Times New Roman" w:cs="nturyOldStyTEE"/>
          <w:color w:val="000000"/>
          <w:sz w:val="25"/>
          <w:szCs w:val="25"/>
        </w:rPr>
        <w:t xml:space="preserve">To z kolei powoduje, iż dla zdobycia szerszego grona odbiorców, dziennikarze są gotowi </w:t>
      </w:r>
      <w:r w:rsidR="005B5F45" w:rsidRPr="00436DBB">
        <w:rPr>
          <w:rFonts w:eastAsia="Times New Roman" w:cs="mesNewRoman"/>
          <w:color w:val="000000"/>
          <w:sz w:val="25"/>
          <w:szCs w:val="25"/>
        </w:rPr>
        <w:t>traktować informacje o przestępstwie lub procesie karnym jak towar, który należy sprzedać, a sprzedaż  jest tym lepsza, im bardziej sensacyjna jest dana wiadomość. Co zrobić, by wiadomość była bardziej przyciągająca dla przeciętnego odbiorcy? Nacechować</w:t>
      </w:r>
      <w:r w:rsidR="0075549B">
        <w:rPr>
          <w:rFonts w:eastAsia="Times New Roman" w:cs="mesNewRoman"/>
          <w:color w:val="000000"/>
          <w:sz w:val="25"/>
          <w:szCs w:val="25"/>
        </w:rPr>
        <w:t xml:space="preserve"> opisującą</w:t>
      </w:r>
      <w:r w:rsidR="005B5F45" w:rsidRPr="00436DBB">
        <w:rPr>
          <w:rFonts w:eastAsia="Times New Roman" w:cs="mesNewRoman"/>
          <w:color w:val="000000"/>
          <w:sz w:val="25"/>
          <w:szCs w:val="25"/>
        </w:rPr>
        <w:t xml:space="preserve"> ją</w:t>
      </w:r>
      <w:r w:rsidR="0075549B">
        <w:rPr>
          <w:rFonts w:eastAsia="Times New Roman" w:cs="mesNewRoman"/>
          <w:color w:val="000000"/>
          <w:sz w:val="25"/>
          <w:szCs w:val="25"/>
        </w:rPr>
        <w:t xml:space="preserve"> notatkę lub artykuł</w:t>
      </w:r>
      <w:r w:rsidR="005B5F45" w:rsidRPr="00436DBB">
        <w:rPr>
          <w:rFonts w:eastAsia="Times New Roman" w:cs="mesNewRoman"/>
          <w:color w:val="000000"/>
          <w:sz w:val="25"/>
          <w:szCs w:val="25"/>
        </w:rPr>
        <w:t xml:space="preserve"> licznymi emocjonalnymi określeniami (np. potwór, złodziej, morderczyni itp.), które jednoznacznie wytworzą w odbiorcy negatywną opinię o niewinności oskarżonego.</w:t>
      </w:r>
    </w:p>
    <w:p w:rsidR="00E7115B" w:rsidRPr="00436DBB" w:rsidRDefault="005B5F45" w:rsidP="00436DBB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 w:cs="mesNewRomanPSMT"/>
          <w:color w:val="000000"/>
          <w:sz w:val="25"/>
          <w:szCs w:val="25"/>
        </w:rPr>
      </w:pPr>
      <w:r w:rsidRPr="00436DBB">
        <w:rPr>
          <w:rFonts w:eastAsia="Times New Roman" w:cs="mesNewRomanPSMT"/>
          <w:color w:val="000000"/>
          <w:sz w:val="25"/>
          <w:szCs w:val="25"/>
        </w:rPr>
        <w:tab/>
        <w:t xml:space="preserve">Drugim czynnikiem jest 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>komercjalizacja prasy (i mediów ogólnie)</w:t>
      </w:r>
      <w:r w:rsidRPr="00436DBB">
        <w:rPr>
          <w:rFonts w:eastAsia="Times New Roman" w:cs="mesNewRomanPSMT"/>
          <w:color w:val="000000"/>
          <w:sz w:val="25"/>
          <w:szCs w:val="25"/>
        </w:rPr>
        <w:t>. Niestety,</w:t>
      </w:r>
      <w:r w:rsidR="0075549B">
        <w:rPr>
          <w:rFonts w:eastAsia="Times New Roman" w:cs="mesNewRomanPSMT"/>
          <w:color w:val="000000"/>
          <w:sz w:val="25"/>
          <w:szCs w:val="25"/>
        </w:rPr>
        <w:t xml:space="preserve">                 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w dzisiejszych czasach mało które środki przekazu są nastawione na ukazywanie prawdy. Większość z nich poszukuje 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>wiadomości zaskakujących, niespotykanych,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 które przyciągną jak najwięcej kupujących.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 xml:space="preserve"> Są to zwykle tematy oderwane od życia codziennego i jego problemów, mające zapewnić rozrywkę, wyrwać czytelnika z „szarej rzeczywistości”. Takie podchodzenie do tematu spraw kryminalnych prowadzi do ujawniania informacji takich jak dane osobowe oskarżonych czy wygłaszania przedwczesnych osądów</w:t>
      </w:r>
      <w:r w:rsidR="0075549B">
        <w:rPr>
          <w:rFonts w:eastAsia="Times New Roman" w:cs="mesNewRomanPSMT"/>
          <w:color w:val="000000"/>
          <w:sz w:val="25"/>
          <w:szCs w:val="25"/>
        </w:rPr>
        <w:t xml:space="preserve"> tylko po to, by zapewnić czytelnikom więcej rozrywki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>. Ze względu na zjawisko „tabloidyzacji” mediów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, taka formuła sprawdza się dość dobrze. </w:t>
      </w:r>
      <w:r w:rsidR="003B76EE" w:rsidRPr="00436DBB">
        <w:rPr>
          <w:rFonts w:eastAsia="Times New Roman" w:cs="mesNewRomanPSMT"/>
          <w:color w:val="000000"/>
          <w:sz w:val="25"/>
          <w:szCs w:val="25"/>
        </w:rPr>
        <w:t xml:space="preserve">Doskonale pokazuje to przykład </w:t>
      </w:r>
      <w:r w:rsidR="0075549B">
        <w:rPr>
          <w:rFonts w:eastAsia="Times New Roman" w:cs="mesNewRomanPSMT"/>
          <w:color w:val="000000"/>
          <w:sz w:val="25"/>
          <w:szCs w:val="25"/>
        </w:rPr>
        <w:t xml:space="preserve">             </w:t>
      </w:r>
      <w:r w:rsidR="003B76EE" w:rsidRPr="00436DBB">
        <w:rPr>
          <w:rFonts w:eastAsia="Times New Roman" w:cs="mesNewRomanPSMT"/>
          <w:color w:val="000000"/>
          <w:sz w:val="25"/>
          <w:szCs w:val="25"/>
        </w:rPr>
        <w:t xml:space="preserve">tzw. 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>gazet-tabloidów,</w:t>
      </w:r>
      <w:r w:rsidR="003B76EE" w:rsidRPr="00436DBB">
        <w:rPr>
          <w:rFonts w:eastAsia="Times New Roman" w:cs="mesNewRomanPSMT"/>
          <w:color w:val="000000"/>
          <w:sz w:val="25"/>
          <w:szCs w:val="25"/>
        </w:rPr>
        <w:t xml:space="preserve"> jak 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 xml:space="preserve">np. </w:t>
      </w:r>
      <w:r w:rsidR="003B76EE" w:rsidRPr="00436DBB">
        <w:rPr>
          <w:rFonts w:eastAsia="Times New Roman" w:cs="mesNewRomanPSMT"/>
          <w:color w:val="000000"/>
          <w:sz w:val="25"/>
          <w:szCs w:val="25"/>
        </w:rPr>
        <w:t xml:space="preserve">„Fakt” czy „SuperExpress”. Artykuły, które ukazują się </w:t>
      </w:r>
      <w:r w:rsidR="0075549B">
        <w:rPr>
          <w:rFonts w:eastAsia="Times New Roman" w:cs="mesNewRomanPSMT"/>
          <w:color w:val="000000"/>
          <w:sz w:val="25"/>
          <w:szCs w:val="25"/>
        </w:rPr>
        <w:t xml:space="preserve">             </w:t>
      </w:r>
      <w:r w:rsidR="003B76EE" w:rsidRPr="00436DBB">
        <w:rPr>
          <w:rFonts w:eastAsia="Times New Roman" w:cs="mesNewRomanPSMT"/>
          <w:color w:val="000000"/>
          <w:sz w:val="25"/>
          <w:szCs w:val="25"/>
        </w:rPr>
        <w:t xml:space="preserve">w tych gazetach, 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>nie zawsze p</w:t>
      </w:r>
      <w:r w:rsidR="00594CA7" w:rsidRPr="00436DBB">
        <w:rPr>
          <w:rFonts w:eastAsia="Times New Roman" w:cs="mesNewRomanPSMT"/>
          <w:color w:val="000000"/>
          <w:sz w:val="25"/>
          <w:szCs w:val="25"/>
        </w:rPr>
        <w:t>ublik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 xml:space="preserve">ują sprawdzone informacje. Pewność dostarczania prawdziwych wiadomości jest </w:t>
      </w:r>
      <w:r w:rsidR="0075549B">
        <w:rPr>
          <w:rFonts w:eastAsia="Times New Roman" w:cs="mesNewRomanPSMT"/>
          <w:color w:val="000000"/>
          <w:sz w:val="25"/>
          <w:szCs w:val="25"/>
        </w:rPr>
        <w:t xml:space="preserve">tam 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 xml:space="preserve">zastępowana przez potrzebę przekazania </w:t>
      </w:r>
      <w:r w:rsidR="0075549B">
        <w:rPr>
          <w:rFonts w:eastAsia="Times New Roman" w:cs="mesNewRomanPSMT"/>
          <w:color w:val="000000"/>
          <w:sz w:val="25"/>
          <w:szCs w:val="25"/>
        </w:rPr>
        <w:t>ich</w:t>
      </w:r>
      <w:r w:rsidR="006808E9" w:rsidRPr="00436DBB">
        <w:rPr>
          <w:rFonts w:eastAsia="Times New Roman" w:cs="mesNewRomanPSMT"/>
          <w:color w:val="000000"/>
          <w:sz w:val="25"/>
          <w:szCs w:val="25"/>
        </w:rPr>
        <w:t xml:space="preserve"> w jak najszybszy i jak najbardziej zwracający uwagę sposób.</w:t>
      </w:r>
      <w:r w:rsidR="00400CC0" w:rsidRPr="00436DBB">
        <w:rPr>
          <w:rFonts w:eastAsia="Times New Roman" w:cs="mesNewRomanPSMT"/>
          <w:color w:val="000000"/>
          <w:sz w:val="25"/>
          <w:szCs w:val="25"/>
        </w:rPr>
        <w:t xml:space="preserve"> Zważywszy na to, iż informacje dotyczące przestępstw budzą zaciekawienie czytelników, </w:t>
      </w:r>
      <w:r w:rsidR="0075549B">
        <w:rPr>
          <w:rFonts w:eastAsia="Times New Roman" w:cs="mesNewRomanPSMT"/>
          <w:color w:val="000000"/>
          <w:sz w:val="25"/>
          <w:szCs w:val="25"/>
        </w:rPr>
        <w:t>n</w:t>
      </w:r>
      <w:r w:rsidR="00400CC0" w:rsidRPr="00436DBB">
        <w:rPr>
          <w:rFonts w:eastAsia="Times New Roman" w:cs="mesNewRomanPSMT"/>
          <w:color w:val="000000"/>
          <w:sz w:val="25"/>
          <w:szCs w:val="25"/>
        </w:rPr>
        <w:t xml:space="preserve">iejednokrotnie </w:t>
      </w:r>
      <w:r w:rsidR="0075549B">
        <w:rPr>
          <w:rFonts w:eastAsia="Times New Roman" w:cs="mesNewRomanPSMT"/>
          <w:color w:val="000000"/>
          <w:sz w:val="25"/>
          <w:szCs w:val="25"/>
        </w:rPr>
        <w:t>dlatego</w:t>
      </w:r>
      <w:r w:rsidR="00400CC0" w:rsidRPr="00436DBB">
        <w:rPr>
          <w:rFonts w:eastAsia="Times New Roman" w:cs="mesNewRomanPSMT"/>
          <w:color w:val="000000"/>
          <w:sz w:val="25"/>
          <w:szCs w:val="25"/>
        </w:rPr>
        <w:t>, że</w:t>
      </w:r>
      <w:r w:rsidR="0075549B">
        <w:rPr>
          <w:rFonts w:eastAsia="Times New Roman" w:cs="mesNewRomanPSMT"/>
          <w:color w:val="000000"/>
          <w:sz w:val="25"/>
          <w:szCs w:val="25"/>
        </w:rPr>
        <w:t xml:space="preserve"> nie sam fakt popełnienia</w:t>
      </w:r>
      <w:r w:rsidR="00400CC0" w:rsidRPr="00436DBB">
        <w:rPr>
          <w:rFonts w:eastAsia="Times New Roman" w:cs="mesNewRomanPSMT"/>
          <w:color w:val="000000"/>
          <w:sz w:val="25"/>
          <w:szCs w:val="25"/>
        </w:rPr>
        <w:t xml:space="preserve"> przestępstw</w:t>
      </w:r>
      <w:r w:rsidR="0075549B">
        <w:rPr>
          <w:rFonts w:eastAsia="Times New Roman" w:cs="mesNewRomanPSMT"/>
          <w:color w:val="000000"/>
          <w:sz w:val="25"/>
          <w:szCs w:val="25"/>
        </w:rPr>
        <w:t>a</w:t>
      </w:r>
      <w:r w:rsidR="00400CC0" w:rsidRPr="00436DBB">
        <w:rPr>
          <w:rFonts w:eastAsia="Times New Roman" w:cs="mesNewRomanPSMT"/>
          <w:color w:val="000000"/>
          <w:sz w:val="25"/>
          <w:szCs w:val="25"/>
        </w:rPr>
        <w:t xml:space="preserve"> </w:t>
      </w:r>
      <w:r w:rsidR="00EF3B55">
        <w:rPr>
          <w:rFonts w:eastAsia="Times New Roman" w:cs="mesNewRomanPSMT"/>
          <w:color w:val="000000"/>
          <w:sz w:val="25"/>
          <w:szCs w:val="25"/>
        </w:rPr>
        <w:t>jest ciekawy</w:t>
      </w:r>
      <w:r w:rsidR="00400CC0" w:rsidRPr="00436DBB">
        <w:rPr>
          <w:rFonts w:eastAsia="Times New Roman" w:cs="mesNewRomanPSMT"/>
          <w:color w:val="000000"/>
          <w:sz w:val="25"/>
          <w:szCs w:val="25"/>
        </w:rPr>
        <w:t>, ale jego otoczka (publiczna osoba jest ofiarą lub oskarżonym, występują zabawne okoliczności dotyczące danej sprawy itp.)</w:t>
      </w:r>
      <w:r w:rsidR="00AD7D62" w:rsidRPr="00436DBB">
        <w:rPr>
          <w:rStyle w:val="FootnoteReference"/>
          <w:rFonts w:eastAsia="Times New Roman" w:cs="mesNewRomanPSMT"/>
          <w:color w:val="000000"/>
          <w:sz w:val="25"/>
          <w:szCs w:val="25"/>
        </w:rPr>
        <w:footnoteReference w:id="8"/>
      </w:r>
      <w:r w:rsidR="00EF3B55">
        <w:rPr>
          <w:rFonts w:eastAsia="Times New Roman" w:cs="mesNewRomanPSMT"/>
          <w:color w:val="000000"/>
          <w:sz w:val="25"/>
          <w:szCs w:val="25"/>
        </w:rPr>
        <w:t>, często stają się one tematem reportaży</w:t>
      </w:r>
      <w:r w:rsidR="00400CC0" w:rsidRPr="00436DBB">
        <w:rPr>
          <w:rFonts w:eastAsia="Times New Roman" w:cs="mesNewRomanPSMT"/>
          <w:color w:val="000000"/>
          <w:sz w:val="25"/>
          <w:szCs w:val="25"/>
        </w:rPr>
        <w:t>.</w:t>
      </w:r>
    </w:p>
    <w:p w:rsidR="00400CC0" w:rsidRPr="00436DBB" w:rsidRDefault="00400CC0" w:rsidP="00436DBB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 w:cs="mesNewRomanPSMT"/>
          <w:color w:val="000000"/>
          <w:sz w:val="25"/>
          <w:szCs w:val="25"/>
        </w:rPr>
      </w:pPr>
      <w:r w:rsidRPr="00436DBB">
        <w:rPr>
          <w:rFonts w:eastAsia="Times New Roman" w:cs="mesNewRomanPSMT"/>
          <w:color w:val="000000"/>
          <w:sz w:val="25"/>
          <w:szCs w:val="25"/>
        </w:rPr>
        <w:tab/>
        <w:t xml:space="preserve">Kolejnym czynnikiem będzie tzw. dziennikarstwo śledcze. I nie chodzi tu </w:t>
      </w:r>
      <w:r w:rsidR="00FF11B1">
        <w:rPr>
          <w:rFonts w:eastAsia="Times New Roman" w:cs="mesNewRomanPSMT"/>
          <w:color w:val="000000"/>
          <w:sz w:val="25"/>
          <w:szCs w:val="25"/>
        </w:rPr>
        <w:t xml:space="preserve">                     </w:t>
      </w:r>
      <w:r w:rsidRPr="00436DBB">
        <w:rPr>
          <w:rFonts w:eastAsia="Times New Roman" w:cs="mesNewRomanPSMT"/>
          <w:color w:val="000000"/>
          <w:sz w:val="25"/>
          <w:szCs w:val="25"/>
        </w:rPr>
        <w:t xml:space="preserve">o prawdziwe, klasyczne dziennikarstwo śledcze, gdzie dziennikarz na własną rękę dochodzi prawdy o sprawie. Mowa tu o potępianej przez m. in. S. Waltosia metodzie zdobywania informacji dzięki „przeciekom” z postępowania przygotowawczego. Polega ono na przekazywaniu </w:t>
      </w:r>
      <w:r w:rsidR="00576C77" w:rsidRPr="00436DBB">
        <w:rPr>
          <w:rFonts w:eastAsia="Times New Roman" w:cs="mesNewRomanPSMT"/>
          <w:color w:val="000000"/>
          <w:sz w:val="25"/>
          <w:szCs w:val="25"/>
        </w:rPr>
        <w:t xml:space="preserve">(w sposób tajny) akt i materiałów (filmów, zdjęć, nagrań) </w:t>
      </w:r>
      <w:r w:rsidR="00FF11B1">
        <w:rPr>
          <w:rFonts w:eastAsia="Times New Roman" w:cs="mesNewRomanPSMT"/>
          <w:color w:val="000000"/>
          <w:sz w:val="25"/>
          <w:szCs w:val="25"/>
        </w:rPr>
        <w:t xml:space="preserve">                      </w:t>
      </w:r>
      <w:r w:rsidR="00576C77" w:rsidRPr="00436DBB">
        <w:rPr>
          <w:rFonts w:eastAsia="Times New Roman" w:cs="mesNewRomanPSMT"/>
          <w:color w:val="000000"/>
          <w:sz w:val="25"/>
          <w:szCs w:val="25"/>
        </w:rPr>
        <w:lastRenderedPageBreak/>
        <w:t xml:space="preserve">z postępowania przygotowawczego wybranym dziennikarzom, którzy upubliczniają je </w:t>
      </w:r>
      <w:r w:rsidR="00FF11B1">
        <w:rPr>
          <w:rFonts w:eastAsia="Times New Roman" w:cs="mesNewRomanPSMT"/>
          <w:color w:val="000000"/>
          <w:sz w:val="25"/>
          <w:szCs w:val="25"/>
        </w:rPr>
        <w:t xml:space="preserve">            </w:t>
      </w:r>
      <w:r w:rsidR="00576C77" w:rsidRPr="00436DBB">
        <w:rPr>
          <w:rFonts w:eastAsia="Times New Roman" w:cs="mesNewRomanPSMT"/>
          <w:color w:val="000000"/>
          <w:sz w:val="25"/>
          <w:szCs w:val="25"/>
        </w:rPr>
        <w:t>w mediach. Zwykle takie informacje są przekazywane w celu zaszkodzenia wizerunkowi medialnemu jakiejś „niewygodnej” osoby. Jest to oczywisty przykład niestosowania się do zasady domniemania niewinności, ponieważ doniesienia medialne</w:t>
      </w:r>
      <w:r w:rsidR="00FF11B1">
        <w:rPr>
          <w:rFonts w:eastAsia="Times New Roman" w:cs="mesNewRomanPSMT"/>
          <w:color w:val="000000"/>
          <w:sz w:val="25"/>
          <w:szCs w:val="25"/>
        </w:rPr>
        <w:t xml:space="preserve"> bazujące na takich „przeciekach”</w:t>
      </w:r>
      <w:r w:rsidR="00576C77" w:rsidRPr="00436DBB">
        <w:rPr>
          <w:rFonts w:eastAsia="Times New Roman" w:cs="mesNewRomanPSMT"/>
          <w:color w:val="000000"/>
          <w:sz w:val="25"/>
          <w:szCs w:val="25"/>
        </w:rPr>
        <w:t xml:space="preserve"> zwykle ukazują tylko niekorzystny dla oskarżonego aspekt sprawy</w:t>
      </w:r>
      <w:r w:rsidR="00FF11B1">
        <w:rPr>
          <w:rFonts w:eastAsia="Times New Roman" w:cs="mesNewRomanPSMT"/>
          <w:color w:val="000000"/>
          <w:sz w:val="25"/>
          <w:szCs w:val="25"/>
        </w:rPr>
        <w:t>,</w:t>
      </w:r>
      <w:r w:rsidR="00576C77" w:rsidRPr="00436DBB">
        <w:rPr>
          <w:rFonts w:eastAsia="Times New Roman" w:cs="mesNewRomanPSMT"/>
          <w:color w:val="000000"/>
          <w:sz w:val="25"/>
          <w:szCs w:val="25"/>
        </w:rPr>
        <w:t xml:space="preserve"> w celu </w:t>
      </w:r>
      <w:r w:rsidR="00FF11B1">
        <w:rPr>
          <w:rFonts w:eastAsia="Times New Roman" w:cs="mesNewRomanPSMT"/>
          <w:color w:val="000000"/>
          <w:sz w:val="25"/>
          <w:szCs w:val="25"/>
        </w:rPr>
        <w:t>opublikowania</w:t>
      </w:r>
      <w:r w:rsidR="00576C77" w:rsidRPr="00436DBB">
        <w:rPr>
          <w:rFonts w:eastAsia="Times New Roman" w:cs="mesNewRomanPSMT"/>
          <w:color w:val="000000"/>
          <w:sz w:val="25"/>
          <w:szCs w:val="25"/>
        </w:rPr>
        <w:t xml:space="preserve"> jak najbardziej sensacyjnego materiału.</w:t>
      </w:r>
    </w:p>
    <w:p w:rsidR="00150668" w:rsidRPr="00436DBB" w:rsidRDefault="00150668" w:rsidP="00436DBB">
      <w:pPr>
        <w:autoSpaceDE w:val="0"/>
        <w:autoSpaceDN w:val="0"/>
        <w:adjustRightInd w:val="0"/>
        <w:snapToGrid w:val="0"/>
        <w:spacing w:after="0"/>
        <w:jc w:val="both"/>
        <w:rPr>
          <w:color w:val="050505"/>
          <w:sz w:val="25"/>
          <w:szCs w:val="25"/>
        </w:rPr>
      </w:pPr>
      <w:r w:rsidRPr="00436DBB">
        <w:rPr>
          <w:rFonts w:eastAsia="Times New Roman" w:cs="mesNewRomanPSMT"/>
          <w:color w:val="000000"/>
          <w:sz w:val="25"/>
          <w:szCs w:val="25"/>
        </w:rPr>
        <w:tab/>
        <w:t xml:space="preserve">Wszystkie te czynniki razem wzięte powodują, iż często dochodzi do łamania zasady domniemania niewinności w środkach masowego przekazu. Sprawą, która jako pierwsza przychodzi na myśl, a która doskonale ukazuje to zjawisko, jest sprawa z 2013r. znana jako „sprawa mamy Madzi”. </w:t>
      </w:r>
      <w:r w:rsidR="00290E36" w:rsidRPr="00436DBB">
        <w:rPr>
          <w:rFonts w:eastAsia="Times New Roman" w:cs="mesNewRomanPSMT"/>
          <w:color w:val="000000"/>
          <w:sz w:val="25"/>
          <w:szCs w:val="25"/>
        </w:rPr>
        <w:t xml:space="preserve">Przypomnę, w </w:t>
      </w:r>
      <w:r w:rsidR="00290E36" w:rsidRPr="00436DBB">
        <w:rPr>
          <w:color w:val="050505"/>
          <w:sz w:val="25"/>
          <w:szCs w:val="25"/>
        </w:rPr>
        <w:t>dniu 18 lutego 2013r. przed Sądem Okręgowym w Katowicach rozpoczął się</w:t>
      </w:r>
      <w:r w:rsidR="00290E36" w:rsidRPr="00436DBB">
        <w:rPr>
          <w:sz w:val="25"/>
          <w:szCs w:val="25"/>
        </w:rPr>
        <w:t xml:space="preserve"> </w:t>
      </w:r>
      <w:r w:rsidR="00290E36" w:rsidRPr="00436DBB">
        <w:rPr>
          <w:color w:val="050505"/>
          <w:sz w:val="25"/>
          <w:szCs w:val="25"/>
        </w:rPr>
        <w:t>proces Katarzyny W.,</w:t>
      </w:r>
      <w:r w:rsidR="00FF11B1">
        <w:rPr>
          <w:color w:val="050505"/>
          <w:sz w:val="25"/>
          <w:szCs w:val="25"/>
        </w:rPr>
        <w:t xml:space="preserve"> </w:t>
      </w:r>
      <w:r w:rsidR="00290E36" w:rsidRPr="00436DBB">
        <w:rPr>
          <w:color w:val="050505"/>
          <w:sz w:val="25"/>
          <w:szCs w:val="25"/>
        </w:rPr>
        <w:t>której prokuratura postawiła zarzut z art.148 § 1 k.k. tj. zarzut</w:t>
      </w:r>
      <w:r w:rsidR="00290E36" w:rsidRPr="00436DBB">
        <w:rPr>
          <w:sz w:val="25"/>
          <w:szCs w:val="25"/>
        </w:rPr>
        <w:t xml:space="preserve"> z</w:t>
      </w:r>
      <w:r w:rsidR="00290E36" w:rsidRPr="00436DBB">
        <w:rPr>
          <w:color w:val="050505"/>
          <w:sz w:val="25"/>
          <w:szCs w:val="25"/>
        </w:rPr>
        <w:t>abójstwa córki Magdaleny. Wszelkie media, które relacjonowały proces</w:t>
      </w:r>
      <w:r w:rsidR="00FF11B1">
        <w:rPr>
          <w:color w:val="050505"/>
          <w:sz w:val="25"/>
          <w:szCs w:val="25"/>
        </w:rPr>
        <w:t>,</w:t>
      </w:r>
      <w:r w:rsidR="00290E36" w:rsidRPr="00436DBB">
        <w:rPr>
          <w:color w:val="050505"/>
          <w:sz w:val="25"/>
          <w:szCs w:val="25"/>
        </w:rPr>
        <w:t xml:space="preserve"> p</w:t>
      </w:r>
      <w:r w:rsidR="00FF11B1">
        <w:rPr>
          <w:color w:val="050505"/>
          <w:sz w:val="25"/>
          <w:szCs w:val="25"/>
        </w:rPr>
        <w:t>ublikowały</w:t>
      </w:r>
      <w:r w:rsidR="00290E36" w:rsidRPr="00436DBB">
        <w:rPr>
          <w:color w:val="050505"/>
          <w:sz w:val="25"/>
          <w:szCs w:val="25"/>
        </w:rPr>
        <w:t xml:space="preserve"> szczegóły</w:t>
      </w:r>
      <w:r w:rsidR="00290E36" w:rsidRPr="00436DBB">
        <w:rPr>
          <w:sz w:val="25"/>
          <w:szCs w:val="25"/>
        </w:rPr>
        <w:t xml:space="preserve"> </w:t>
      </w:r>
      <w:r w:rsidR="00290E36" w:rsidRPr="00436DBB">
        <w:rPr>
          <w:color w:val="050505"/>
          <w:sz w:val="25"/>
          <w:szCs w:val="25"/>
        </w:rPr>
        <w:t>ujawnione w czasie przesłuchania oskarżonej, później także szczegóły dotyczące przebiegu kolejnych rozpraw i nowych dowodów w sprawie. W artykułach prasowych padały pod adresem Katarzyny W. takie określenia jak „dzieciobójczyni” czy „morderczyni”, zaś</w:t>
      </w:r>
      <w:r w:rsidR="00290E36" w:rsidRPr="00436DBB">
        <w:rPr>
          <w:sz w:val="25"/>
          <w:szCs w:val="25"/>
        </w:rPr>
        <w:t xml:space="preserve"> </w:t>
      </w:r>
      <w:r w:rsidR="00290E36" w:rsidRPr="00436DBB">
        <w:rPr>
          <w:color w:val="050505"/>
          <w:sz w:val="25"/>
          <w:szCs w:val="25"/>
        </w:rPr>
        <w:t>przechodnie</w:t>
      </w:r>
      <w:r w:rsidR="00290E36" w:rsidRPr="00436DBB">
        <w:rPr>
          <w:sz w:val="25"/>
          <w:szCs w:val="25"/>
        </w:rPr>
        <w:t xml:space="preserve"> </w:t>
      </w:r>
      <w:r w:rsidR="00290E36" w:rsidRPr="00436DBB">
        <w:rPr>
          <w:color w:val="050505"/>
          <w:sz w:val="25"/>
          <w:szCs w:val="25"/>
        </w:rPr>
        <w:t>przepytywani na ulicach różnych miast z oburzeniem mówili o niej „zabójczyni”.</w:t>
      </w:r>
      <w:r w:rsidR="00290E36" w:rsidRPr="00436DBB">
        <w:rPr>
          <w:sz w:val="25"/>
          <w:szCs w:val="25"/>
        </w:rPr>
        <w:t xml:space="preserve"> </w:t>
      </w:r>
      <w:r w:rsidR="00290E36" w:rsidRPr="00436DBB">
        <w:rPr>
          <w:color w:val="050505"/>
          <w:sz w:val="25"/>
          <w:szCs w:val="25"/>
        </w:rPr>
        <w:t xml:space="preserve">W tym przypadku wina została przez społeczeństwo i media przesądzona, jeszcze </w:t>
      </w:r>
      <w:r w:rsidR="000F739A" w:rsidRPr="00436DBB">
        <w:rPr>
          <w:color w:val="050505"/>
          <w:sz w:val="25"/>
          <w:szCs w:val="25"/>
        </w:rPr>
        <w:t xml:space="preserve">na </w:t>
      </w:r>
      <w:r w:rsidR="00290E36" w:rsidRPr="00436DBB">
        <w:rPr>
          <w:color w:val="050505"/>
          <w:sz w:val="25"/>
          <w:szCs w:val="25"/>
        </w:rPr>
        <w:t>długo przed zapadnięciem wyroku skazującego.</w:t>
      </w:r>
      <w:r w:rsidR="000F739A" w:rsidRPr="00436DBB">
        <w:rPr>
          <w:color w:val="050505"/>
          <w:sz w:val="25"/>
          <w:szCs w:val="25"/>
        </w:rPr>
        <w:t xml:space="preserve"> Fakt, iż zapadł w sprawie wyrok skazujący, nie usprawiedliwia tak dogłębnego pogwałcenia przez media jej prawa do uznania za niewinną</w:t>
      </w:r>
      <w:r w:rsidR="00AD7D62" w:rsidRPr="00436DBB">
        <w:rPr>
          <w:rStyle w:val="FootnoteReference"/>
          <w:color w:val="050505"/>
          <w:sz w:val="25"/>
          <w:szCs w:val="25"/>
        </w:rPr>
        <w:footnoteReference w:id="9"/>
      </w:r>
      <w:r w:rsidR="000F739A" w:rsidRPr="00436DBB">
        <w:rPr>
          <w:color w:val="050505"/>
          <w:sz w:val="25"/>
          <w:szCs w:val="25"/>
        </w:rPr>
        <w:t xml:space="preserve">. </w:t>
      </w:r>
    </w:p>
    <w:p w:rsidR="00927A01" w:rsidRPr="00436DBB" w:rsidRDefault="00406657" w:rsidP="00436DBB">
      <w:pPr>
        <w:autoSpaceDE w:val="0"/>
        <w:autoSpaceDN w:val="0"/>
        <w:adjustRightInd w:val="0"/>
        <w:snapToGrid w:val="0"/>
        <w:spacing w:after="0"/>
        <w:jc w:val="both"/>
        <w:rPr>
          <w:color w:val="050505"/>
          <w:sz w:val="25"/>
          <w:szCs w:val="25"/>
        </w:rPr>
      </w:pPr>
      <w:r w:rsidRPr="00436DBB">
        <w:rPr>
          <w:color w:val="050505"/>
          <w:sz w:val="25"/>
          <w:szCs w:val="25"/>
        </w:rPr>
        <w:tab/>
        <w:t xml:space="preserve">Jak widać, pomimo istnienia tak wielu regulacji dotyczących zasady domniemania niewinności oraz obowiązywania </w:t>
      </w:r>
      <w:r w:rsidR="00FF11B1">
        <w:rPr>
          <w:color w:val="050505"/>
          <w:sz w:val="25"/>
          <w:szCs w:val="25"/>
        </w:rPr>
        <w:t xml:space="preserve">prawych </w:t>
      </w:r>
      <w:r w:rsidRPr="00436DBB">
        <w:rPr>
          <w:color w:val="050505"/>
          <w:sz w:val="25"/>
          <w:szCs w:val="25"/>
        </w:rPr>
        <w:t>ograniczeń wobec środków masowego przekazu (</w:t>
      </w:r>
      <w:r w:rsidR="00FF11B1">
        <w:rPr>
          <w:color w:val="050505"/>
          <w:sz w:val="25"/>
          <w:szCs w:val="25"/>
        </w:rPr>
        <w:t>zamieszczonych w Prawie prasowym</w:t>
      </w:r>
      <w:r w:rsidRPr="00436DBB">
        <w:rPr>
          <w:color w:val="050505"/>
          <w:sz w:val="25"/>
          <w:szCs w:val="25"/>
        </w:rPr>
        <w:t>), w Polsce wciąż dochodzi do łamania tego jakże podstawowego prawa oskarżonego.</w:t>
      </w:r>
      <w:r w:rsidR="00FF11B1">
        <w:rPr>
          <w:color w:val="050505"/>
          <w:sz w:val="25"/>
          <w:szCs w:val="25"/>
        </w:rPr>
        <w:t xml:space="preserve"> Istnieje duże prawdopodobieństwo, iż dzieje się tak ze względu na brak sankcji wobec dziennikarzy naruszających w swych pracach zasadę domniemania niewinności, przez co czują się oni raczej bezkarni. Albowiem jedyną dostępną drogą szukania zadośćuczynienia za pomówienie w gazecie jest droga </w:t>
      </w:r>
      <w:r w:rsidR="005E3C80">
        <w:rPr>
          <w:color w:val="050505"/>
          <w:sz w:val="25"/>
          <w:szCs w:val="25"/>
        </w:rPr>
        <w:t xml:space="preserve">cywilna, gdzie nie tylko koszty są duże, ale i czas oczekiwania na rozpatrzenie sprawy. </w:t>
      </w:r>
      <w:r w:rsidRPr="00436DBB">
        <w:rPr>
          <w:color w:val="050505"/>
          <w:sz w:val="25"/>
          <w:szCs w:val="25"/>
        </w:rPr>
        <w:t xml:space="preserve"> </w:t>
      </w:r>
      <w:r w:rsidR="00A039E3" w:rsidRPr="00436DBB">
        <w:rPr>
          <w:color w:val="050505"/>
          <w:sz w:val="25"/>
          <w:szCs w:val="25"/>
        </w:rPr>
        <w:t>Doskonale podsumował tę sytuację S. Waltoś, który stwierdził, iż  „</w:t>
      </w:r>
      <w:r w:rsidR="00A039E3" w:rsidRPr="00436DBB">
        <w:rPr>
          <w:rFonts w:eastAsia="Times New Roman" w:cs="mesNewRoman"/>
          <w:i/>
          <w:color w:val="000000"/>
          <w:sz w:val="25"/>
          <w:szCs w:val="25"/>
        </w:rPr>
        <w:t>okazuje się jednak, że nie wystarczy stworzyć niezłe prawo, jeśli równocześnie nie skonstruuje się sprawnego systemu egzekwowania tego prawa</w:t>
      </w:r>
      <w:r w:rsidR="00A039E3" w:rsidRPr="00436DBB">
        <w:rPr>
          <w:rFonts w:eastAsia="Times New Roman" w:cs="mesNewRoman"/>
          <w:color w:val="000000"/>
          <w:sz w:val="25"/>
          <w:szCs w:val="25"/>
        </w:rPr>
        <w:t>.</w:t>
      </w:r>
      <w:r w:rsidR="00AD7D62" w:rsidRPr="00436DBB">
        <w:rPr>
          <w:rStyle w:val="FootnoteReference"/>
          <w:rFonts w:eastAsia="Times New Roman" w:cs="mesNewRoman"/>
          <w:color w:val="000000"/>
          <w:sz w:val="25"/>
          <w:szCs w:val="25"/>
        </w:rPr>
        <w:footnoteReference w:id="10"/>
      </w:r>
      <w:r w:rsidR="00A039E3" w:rsidRPr="00436DBB">
        <w:rPr>
          <w:rFonts w:eastAsia="Times New Roman" w:cs="mesNewRoman"/>
          <w:color w:val="000000"/>
          <w:sz w:val="25"/>
          <w:szCs w:val="25"/>
        </w:rPr>
        <w:t>”</w:t>
      </w:r>
      <w:r w:rsidR="00927A01" w:rsidRPr="00436DBB">
        <w:rPr>
          <w:color w:val="050505"/>
          <w:sz w:val="25"/>
          <w:szCs w:val="25"/>
        </w:rPr>
        <w:t xml:space="preserve"> </w:t>
      </w:r>
    </w:p>
    <w:p w:rsidR="00CF79BF" w:rsidRPr="00436DBB" w:rsidRDefault="003F211F" w:rsidP="00436DBB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color w:val="050505"/>
          <w:sz w:val="25"/>
          <w:szCs w:val="25"/>
        </w:rPr>
      </w:pPr>
      <w:r w:rsidRPr="00436DBB">
        <w:rPr>
          <w:color w:val="050505"/>
          <w:sz w:val="25"/>
          <w:szCs w:val="25"/>
        </w:rPr>
        <w:t>Jednakże n</w:t>
      </w:r>
      <w:r w:rsidR="00927A01" w:rsidRPr="00436DBB">
        <w:rPr>
          <w:color w:val="050505"/>
          <w:sz w:val="25"/>
          <w:szCs w:val="25"/>
        </w:rPr>
        <w:t>ie tylko przedstawiciele doktryny</w:t>
      </w:r>
      <w:r w:rsidRPr="00436DBB">
        <w:rPr>
          <w:color w:val="050505"/>
          <w:sz w:val="25"/>
          <w:szCs w:val="25"/>
        </w:rPr>
        <w:t xml:space="preserve"> zauważają</w:t>
      </w:r>
      <w:r w:rsidR="00927A01" w:rsidRPr="00436DBB">
        <w:rPr>
          <w:color w:val="050505"/>
          <w:sz w:val="25"/>
          <w:szCs w:val="25"/>
        </w:rPr>
        <w:t>,</w:t>
      </w:r>
      <w:r w:rsidRPr="00436DBB">
        <w:rPr>
          <w:color w:val="050505"/>
          <w:sz w:val="25"/>
          <w:szCs w:val="25"/>
        </w:rPr>
        <w:t xml:space="preserve"> że w RP </w:t>
      </w:r>
      <w:r w:rsidR="00272756" w:rsidRPr="00436DBB">
        <w:rPr>
          <w:color w:val="050505"/>
          <w:sz w:val="25"/>
          <w:szCs w:val="25"/>
        </w:rPr>
        <w:t>narusza sie</w:t>
      </w:r>
      <w:r w:rsidRPr="00436DBB">
        <w:rPr>
          <w:color w:val="050505"/>
          <w:sz w:val="25"/>
          <w:szCs w:val="25"/>
        </w:rPr>
        <w:t xml:space="preserve"> fundamentaln</w:t>
      </w:r>
      <w:r w:rsidR="00272756" w:rsidRPr="00436DBB">
        <w:rPr>
          <w:color w:val="050505"/>
          <w:sz w:val="25"/>
          <w:szCs w:val="25"/>
        </w:rPr>
        <w:t>ą</w:t>
      </w:r>
      <w:r w:rsidRPr="00436DBB">
        <w:rPr>
          <w:color w:val="050505"/>
          <w:sz w:val="25"/>
          <w:szCs w:val="25"/>
        </w:rPr>
        <w:t xml:space="preserve"> zasad</w:t>
      </w:r>
      <w:r w:rsidR="00272756" w:rsidRPr="00436DBB">
        <w:rPr>
          <w:color w:val="050505"/>
          <w:sz w:val="25"/>
          <w:szCs w:val="25"/>
        </w:rPr>
        <w:t>ę</w:t>
      </w:r>
      <w:r w:rsidRPr="00436DBB">
        <w:rPr>
          <w:color w:val="050505"/>
          <w:sz w:val="25"/>
          <w:szCs w:val="25"/>
        </w:rPr>
        <w:t xml:space="preserve"> postępowania karnego. Zwracają na to uwagę</w:t>
      </w:r>
      <w:r w:rsidR="00927A01" w:rsidRPr="00436DBB">
        <w:rPr>
          <w:color w:val="050505"/>
          <w:sz w:val="25"/>
          <w:szCs w:val="25"/>
        </w:rPr>
        <w:t xml:space="preserve"> także organizacje społeczne zajmujące się działalnością związaną z wykrywaniem naruszeń prawa </w:t>
      </w:r>
      <w:r w:rsidR="007B022E">
        <w:rPr>
          <w:color w:val="050505"/>
          <w:sz w:val="25"/>
          <w:szCs w:val="25"/>
        </w:rPr>
        <w:t xml:space="preserve">                   </w:t>
      </w:r>
      <w:r w:rsidR="00927A01" w:rsidRPr="00436DBB">
        <w:rPr>
          <w:color w:val="050505"/>
          <w:sz w:val="25"/>
          <w:szCs w:val="25"/>
        </w:rPr>
        <w:t xml:space="preserve">(jak np. Stowarzyszenie Prawo na Drodze) czy oferujące pomoc prawną osobom poszkodowanym przez urzędników, wymiar sprawiedliwości i organy ścigania </w:t>
      </w:r>
      <w:r w:rsidR="007B022E">
        <w:rPr>
          <w:color w:val="050505"/>
          <w:sz w:val="25"/>
          <w:szCs w:val="25"/>
        </w:rPr>
        <w:t xml:space="preserve">                    </w:t>
      </w:r>
      <w:r w:rsidR="00927A01" w:rsidRPr="00436DBB">
        <w:rPr>
          <w:color w:val="050505"/>
          <w:sz w:val="25"/>
          <w:szCs w:val="25"/>
        </w:rPr>
        <w:t>(np. Fundacja LEX NOSTRA)</w:t>
      </w:r>
      <w:r w:rsidR="00272756" w:rsidRPr="00436DBB">
        <w:rPr>
          <w:color w:val="050505"/>
          <w:sz w:val="25"/>
          <w:szCs w:val="25"/>
        </w:rPr>
        <w:t xml:space="preserve">, a nawet zwykli obywatele, których spotkała </w:t>
      </w:r>
      <w:r w:rsidR="00272756" w:rsidRPr="00436DBB">
        <w:rPr>
          <w:color w:val="050505"/>
          <w:sz w:val="25"/>
          <w:szCs w:val="25"/>
        </w:rPr>
        <w:lastRenderedPageBreak/>
        <w:t>niesprawiedliwość w postaci nierespektowania ich prawa do uznania za niewinnych do czasu wydania wyroku</w:t>
      </w:r>
      <w:r w:rsidR="00927A01" w:rsidRPr="00436DBB">
        <w:rPr>
          <w:color w:val="050505"/>
          <w:sz w:val="25"/>
          <w:szCs w:val="25"/>
        </w:rPr>
        <w:t>.</w:t>
      </w:r>
      <w:r w:rsidRPr="00436DBB">
        <w:rPr>
          <w:color w:val="050505"/>
          <w:sz w:val="25"/>
          <w:szCs w:val="25"/>
        </w:rPr>
        <w:t xml:space="preserve"> </w:t>
      </w:r>
    </w:p>
    <w:p w:rsidR="00272756" w:rsidRDefault="00272756" w:rsidP="00436DBB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color w:val="050505"/>
          <w:sz w:val="25"/>
          <w:szCs w:val="25"/>
        </w:rPr>
      </w:pPr>
      <w:r w:rsidRPr="00436DBB">
        <w:rPr>
          <w:color w:val="050505"/>
          <w:sz w:val="25"/>
          <w:szCs w:val="25"/>
        </w:rPr>
        <w:t>Na szczęście w orzecznictwie można znaleźć dowody na to, iż podejmowana jest walka z takimi naruszeniami. Przykładami takich orzeczeń mogą być m. in. wyrok S</w:t>
      </w:r>
      <w:r w:rsidR="006911F8" w:rsidRPr="00436DBB">
        <w:rPr>
          <w:color w:val="050505"/>
          <w:sz w:val="25"/>
          <w:szCs w:val="25"/>
        </w:rPr>
        <w:t xml:space="preserve">ądu </w:t>
      </w:r>
      <w:r w:rsidRPr="00436DBB">
        <w:rPr>
          <w:color w:val="050505"/>
          <w:sz w:val="25"/>
          <w:szCs w:val="25"/>
        </w:rPr>
        <w:t>N</w:t>
      </w:r>
      <w:r w:rsidR="006911F8" w:rsidRPr="00436DBB">
        <w:rPr>
          <w:color w:val="050505"/>
          <w:sz w:val="25"/>
          <w:szCs w:val="25"/>
        </w:rPr>
        <w:t>ajwyższego</w:t>
      </w:r>
      <w:r w:rsidRPr="00436DBB">
        <w:rPr>
          <w:color w:val="050505"/>
          <w:sz w:val="25"/>
          <w:szCs w:val="25"/>
        </w:rPr>
        <w:t xml:space="preserve"> z dnia 28 marca 2008r.</w:t>
      </w:r>
      <w:r w:rsidR="00CF79BF" w:rsidRPr="00436DBB">
        <w:rPr>
          <w:color w:val="050505"/>
          <w:sz w:val="25"/>
          <w:szCs w:val="25"/>
        </w:rPr>
        <w:t>,</w:t>
      </w:r>
      <w:r w:rsidRPr="00436DBB">
        <w:rPr>
          <w:color w:val="050505"/>
          <w:sz w:val="25"/>
          <w:szCs w:val="25"/>
        </w:rPr>
        <w:t xml:space="preserve"> sygn.</w:t>
      </w:r>
      <w:r w:rsidR="00CF79BF" w:rsidRPr="00436DBB">
        <w:rPr>
          <w:color w:val="050505"/>
          <w:sz w:val="25"/>
          <w:szCs w:val="25"/>
        </w:rPr>
        <w:t xml:space="preserve"> akt</w:t>
      </w:r>
      <w:r w:rsidRPr="00436DBB">
        <w:rPr>
          <w:color w:val="050505"/>
          <w:sz w:val="25"/>
          <w:szCs w:val="25"/>
        </w:rPr>
        <w:t xml:space="preserve"> III KK 484/07</w:t>
      </w:r>
      <w:r w:rsidR="00CF79BF" w:rsidRPr="00436DBB">
        <w:rPr>
          <w:color w:val="050505"/>
          <w:sz w:val="25"/>
          <w:szCs w:val="25"/>
        </w:rPr>
        <w:t>, Biul. PK 2008/8/13,</w:t>
      </w:r>
      <w:r w:rsidR="007B022E">
        <w:rPr>
          <w:color w:val="050505"/>
          <w:sz w:val="25"/>
          <w:szCs w:val="25"/>
        </w:rPr>
        <w:t xml:space="preserve">             </w:t>
      </w:r>
      <w:r w:rsidR="00CF79BF" w:rsidRPr="00436DBB">
        <w:rPr>
          <w:color w:val="050505"/>
          <w:sz w:val="25"/>
          <w:szCs w:val="25"/>
        </w:rPr>
        <w:t xml:space="preserve"> w którym Sąd Najwyższy stwierdził, iż „</w:t>
      </w:r>
      <w:r w:rsidR="00CF79BF" w:rsidRPr="00436DBB">
        <w:rPr>
          <w:i/>
          <w:color w:val="050505"/>
          <w:sz w:val="25"/>
          <w:szCs w:val="25"/>
        </w:rPr>
        <w:t>obowiązek udowodnienia odnosić należy jednak tylko do ustaleń niekorzystnych dla oskarżonego, jako że on sam korzysta z domniemania niewinności (art. 5 § 1 KPK), a nie dające się usunąć wątpliwości rozstrzyga się na jego korzyść (art. 5 § 2 KPK). Ze względu na te zasady wydanie wyroku uniewinniającego jest konieczne zarówno wówczas, gdy wykazano niewinność oskarżonego, jak i wtedy - co chyba częściej ma miejsce - gdy nie udowodniono, że jest on winny popełnienia zarzucanego mu czynu przestępnego. W tym ostatnim wypadku wystarczy zatem, że twierdzenia oskarżonego, negujące tezy aktu oskarżenia, zostaną uprawdopodobnione. Wyrok uniewinniający musi jednak zapaść również i w takiej sytuacji, gdy wskazywana przez oskarżonego teza jest co prawda nieuprawdopodobniona, ale też nie zdołano udowodnić mu sprawstwa i winy. Należy podkreślić, że walor prawny uniewinnień</w:t>
      </w:r>
      <w:r w:rsidR="007B022E">
        <w:rPr>
          <w:i/>
          <w:color w:val="050505"/>
          <w:sz w:val="25"/>
          <w:szCs w:val="25"/>
        </w:rPr>
        <w:t xml:space="preserve">                  </w:t>
      </w:r>
      <w:r w:rsidR="00CF79BF" w:rsidRPr="00436DBB">
        <w:rPr>
          <w:i/>
          <w:color w:val="050505"/>
          <w:sz w:val="25"/>
          <w:szCs w:val="25"/>
        </w:rPr>
        <w:t xml:space="preserve"> z różnych powodów jest taki sam, ponieważ polskie prawo karnoprocesowe nie przewiduje tzw. wyroków pośrednich, czyli pozostawiających daną osobę w stanie ciągłego podejrzenia (absolutio ab instantia).</w:t>
      </w:r>
      <w:r w:rsidR="00CF79BF" w:rsidRPr="00436DBB">
        <w:rPr>
          <w:color w:val="050505"/>
          <w:sz w:val="25"/>
          <w:szCs w:val="25"/>
        </w:rPr>
        <w:t xml:space="preserve"> ”, a także wyrok Sąd</w:t>
      </w:r>
      <w:r w:rsidR="006911F8" w:rsidRPr="00436DBB">
        <w:rPr>
          <w:color w:val="050505"/>
          <w:sz w:val="25"/>
          <w:szCs w:val="25"/>
        </w:rPr>
        <w:t>u</w:t>
      </w:r>
      <w:r w:rsidR="00CF79BF" w:rsidRPr="00436DBB">
        <w:rPr>
          <w:color w:val="050505"/>
          <w:sz w:val="25"/>
          <w:szCs w:val="25"/>
        </w:rPr>
        <w:t xml:space="preserve"> Okręgow</w:t>
      </w:r>
      <w:r w:rsidR="006911F8" w:rsidRPr="00436DBB">
        <w:rPr>
          <w:color w:val="050505"/>
          <w:sz w:val="25"/>
          <w:szCs w:val="25"/>
        </w:rPr>
        <w:t>ego</w:t>
      </w:r>
      <w:r w:rsidR="00CF79BF" w:rsidRPr="00436DBB">
        <w:rPr>
          <w:color w:val="050505"/>
          <w:sz w:val="25"/>
          <w:szCs w:val="25"/>
        </w:rPr>
        <w:t xml:space="preserve"> we Wrocławiu </w:t>
      </w:r>
      <w:r w:rsidR="006911F8" w:rsidRPr="00436DBB">
        <w:rPr>
          <w:color w:val="050505"/>
          <w:sz w:val="25"/>
          <w:szCs w:val="25"/>
        </w:rPr>
        <w:t>z</w:t>
      </w:r>
      <w:r w:rsidR="00CF79BF" w:rsidRPr="00436DBB">
        <w:rPr>
          <w:color w:val="050505"/>
          <w:sz w:val="25"/>
          <w:szCs w:val="25"/>
        </w:rPr>
        <w:t xml:space="preserve"> </w:t>
      </w:r>
      <w:r w:rsidR="006911F8" w:rsidRPr="00436DBB">
        <w:rPr>
          <w:color w:val="050505"/>
          <w:sz w:val="25"/>
          <w:szCs w:val="25"/>
        </w:rPr>
        <w:t>dnia 28 listopada 2013</w:t>
      </w:r>
      <w:r w:rsidR="00CF79BF" w:rsidRPr="00436DBB">
        <w:rPr>
          <w:color w:val="050505"/>
          <w:sz w:val="25"/>
          <w:szCs w:val="25"/>
        </w:rPr>
        <w:t>r.</w:t>
      </w:r>
      <w:r w:rsidR="006911F8" w:rsidRPr="00436DBB">
        <w:rPr>
          <w:color w:val="050505"/>
          <w:sz w:val="25"/>
          <w:szCs w:val="25"/>
        </w:rPr>
        <w:t>,</w:t>
      </w:r>
      <w:r w:rsidR="00CF79BF" w:rsidRPr="00436DBB">
        <w:rPr>
          <w:color w:val="050505"/>
          <w:sz w:val="25"/>
          <w:szCs w:val="25"/>
        </w:rPr>
        <w:t xml:space="preserve"> </w:t>
      </w:r>
      <w:r w:rsidR="006911F8" w:rsidRPr="00436DBB">
        <w:rPr>
          <w:color w:val="050505"/>
          <w:sz w:val="25"/>
          <w:szCs w:val="25"/>
        </w:rPr>
        <w:t>s</w:t>
      </w:r>
      <w:r w:rsidR="00CF79BF" w:rsidRPr="00436DBB">
        <w:rPr>
          <w:color w:val="050505"/>
          <w:sz w:val="25"/>
          <w:szCs w:val="25"/>
        </w:rPr>
        <w:t>ygn. akt. IV Ka 1081/13</w:t>
      </w:r>
      <w:r w:rsidR="006911F8" w:rsidRPr="00436DBB">
        <w:rPr>
          <w:color w:val="050505"/>
          <w:sz w:val="25"/>
          <w:szCs w:val="25"/>
        </w:rPr>
        <w:t>, gdzie zwrócono uwagę, że „</w:t>
      </w:r>
      <w:r w:rsidR="006911F8" w:rsidRPr="00436DBB">
        <w:rPr>
          <w:i/>
          <w:color w:val="050505"/>
          <w:sz w:val="25"/>
          <w:szCs w:val="25"/>
        </w:rPr>
        <w:t>… domniemanie niewinności nie wymaga dowodzenia; to obalenie tego domniemania wymaga dowodów</w:t>
      </w:r>
      <w:r w:rsidR="006911F8" w:rsidRPr="00436DBB">
        <w:rPr>
          <w:color w:val="050505"/>
          <w:sz w:val="25"/>
          <w:szCs w:val="25"/>
        </w:rPr>
        <w:t>.”</w:t>
      </w:r>
    </w:p>
    <w:p w:rsidR="007B022E" w:rsidRPr="00965C20" w:rsidRDefault="007B022E" w:rsidP="00436DBB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color w:val="050505"/>
          <w:sz w:val="25"/>
          <w:szCs w:val="25"/>
        </w:rPr>
      </w:pPr>
      <w:r>
        <w:rPr>
          <w:color w:val="050505"/>
          <w:sz w:val="25"/>
          <w:szCs w:val="25"/>
        </w:rPr>
        <w:t xml:space="preserve">Nowelizacje Kodeksu postępowania karnego, które tak licznie pojawiają się </w:t>
      </w:r>
      <w:r w:rsidR="00874694">
        <w:rPr>
          <w:color w:val="050505"/>
          <w:sz w:val="25"/>
          <w:szCs w:val="25"/>
        </w:rPr>
        <w:t xml:space="preserve">                </w:t>
      </w:r>
      <w:r>
        <w:rPr>
          <w:color w:val="050505"/>
          <w:sz w:val="25"/>
          <w:szCs w:val="25"/>
        </w:rPr>
        <w:t xml:space="preserve">w ostatnim okresie, nie dotykają zasady domniemania niewinności jako takiej, ponieważ wypływa ona nie tylko z k.p.k., ale przede wszystkim z Konstytucji. Warto jednak dostrzec, że zmiany wprowadzane do kodeksu zdają się iść w kierunku wzmocnienia poziomu przestrzegania </w:t>
      </w:r>
      <w:r w:rsidR="00965C20">
        <w:rPr>
          <w:color w:val="050505"/>
          <w:sz w:val="25"/>
          <w:szCs w:val="25"/>
        </w:rPr>
        <w:t xml:space="preserve">zasady, przynajmniej w jej aspekcie procesowym. Dotyczy to zarówno zmiany art. 5 § 2 k.p.k., który zmienia zakres obowiązywania powiązanej                   z domniemaniem niewinności zasady </w:t>
      </w:r>
      <w:r w:rsidR="00965C20">
        <w:rPr>
          <w:i/>
          <w:color w:val="050505"/>
          <w:sz w:val="25"/>
          <w:szCs w:val="25"/>
        </w:rPr>
        <w:t>in</w:t>
      </w:r>
      <w:r w:rsidR="00965C20" w:rsidRPr="00965C20">
        <w:rPr>
          <w:i/>
          <w:color w:val="050505"/>
          <w:sz w:val="25"/>
          <w:szCs w:val="25"/>
        </w:rPr>
        <w:t xml:space="preserve"> dubio pro reo</w:t>
      </w:r>
      <w:r w:rsidR="00965C20" w:rsidRPr="00965C20">
        <w:rPr>
          <w:color w:val="050505"/>
          <w:sz w:val="25"/>
          <w:szCs w:val="25"/>
        </w:rPr>
        <w:t xml:space="preserve">, jak i </w:t>
      </w:r>
      <w:r w:rsidR="00965C20">
        <w:rPr>
          <w:color w:val="050505"/>
          <w:sz w:val="25"/>
          <w:szCs w:val="25"/>
        </w:rPr>
        <w:t>zmiany art. 167 k.p.k., która marginalizuje przeprowadzanie dowodów z urzędu. W jeszcze obowiązującym stanie prawnym zdarzały się sytuacje, gdy sąd z urzędu przeprowadzał dowody na niekorzyść oskarżonego, pomimo iż oskarżyciel nie wnosił o ich przeprowadzenie. Stawiało to oskarżonego w bardzo niekorzystnej sytuacji i wzbudzało wątpliwości co do bezstronności sądu. Nowy stan prawny zapewni większe zaufanie do neutralności sędziego, co spowoduje, iż (przynajmniej w odczuciu oskarżonego) zasada domniemania niewinności będzie silniej respektowana przez wymiar sprawiedliwości.</w:t>
      </w:r>
    </w:p>
    <w:p w:rsidR="002D5156" w:rsidRPr="00436DBB" w:rsidRDefault="002D5156" w:rsidP="00436DBB">
      <w:pPr>
        <w:autoSpaceDE w:val="0"/>
        <w:autoSpaceDN w:val="0"/>
        <w:adjustRightInd w:val="0"/>
        <w:snapToGrid w:val="0"/>
        <w:spacing w:after="0"/>
        <w:ind w:firstLine="708"/>
        <w:jc w:val="both"/>
        <w:rPr>
          <w:color w:val="050505"/>
          <w:sz w:val="25"/>
          <w:szCs w:val="25"/>
        </w:rPr>
      </w:pPr>
      <w:r w:rsidRPr="00436DBB">
        <w:rPr>
          <w:color w:val="050505"/>
          <w:sz w:val="25"/>
          <w:szCs w:val="25"/>
        </w:rPr>
        <w:t xml:space="preserve">Podsumowując, domniemanie niewinności to bardzo ważna dla rzetelnego procesu karnego zdobycz </w:t>
      </w:r>
      <w:r w:rsidR="00E64BB7" w:rsidRPr="00436DBB">
        <w:rPr>
          <w:color w:val="050505"/>
          <w:sz w:val="25"/>
          <w:szCs w:val="25"/>
        </w:rPr>
        <w:t xml:space="preserve">myśli prawniczej. Sama koncepcja jest bardzo chlubna, a sens jej obowiązywania nie powinien budzić żadnych </w:t>
      </w:r>
      <w:r w:rsidR="00FF5A04" w:rsidRPr="00436DBB">
        <w:rPr>
          <w:color w:val="050505"/>
          <w:sz w:val="25"/>
          <w:szCs w:val="25"/>
        </w:rPr>
        <w:t>obiekcji</w:t>
      </w:r>
      <w:r w:rsidR="00E64BB7" w:rsidRPr="00436DBB">
        <w:rPr>
          <w:color w:val="050505"/>
          <w:sz w:val="25"/>
          <w:szCs w:val="25"/>
        </w:rPr>
        <w:t xml:space="preserve">. Jednakże, jak to często bywa, piękna teoria nieco mija się z praktyką. Niestety w dzisiejszych czasach coraz częściej </w:t>
      </w:r>
      <w:r w:rsidR="00E64BB7" w:rsidRPr="00436DBB">
        <w:rPr>
          <w:color w:val="050505"/>
          <w:sz w:val="25"/>
          <w:szCs w:val="25"/>
        </w:rPr>
        <w:lastRenderedPageBreak/>
        <w:t xml:space="preserve">dochodzi do poświęcania cudzych dóbr osobistych na rzecz własnego zysku. Pozostaje jedynie mieć nadzieję, iż </w:t>
      </w:r>
      <w:r w:rsidR="00FF5A04" w:rsidRPr="00436DBB">
        <w:rPr>
          <w:color w:val="050505"/>
          <w:sz w:val="25"/>
          <w:szCs w:val="25"/>
        </w:rPr>
        <w:t xml:space="preserve">przyszłość przyniesie więcej tych optymistycznie nastrajających rozstrzygnięć, </w:t>
      </w:r>
      <w:r w:rsidR="00874694">
        <w:rPr>
          <w:color w:val="050505"/>
          <w:sz w:val="25"/>
          <w:szCs w:val="25"/>
        </w:rPr>
        <w:t>a jakże liczne zmiany wprowadzane do unormowania procesu karnego spowodują, iż stanie się on bardziej przyjazny dla osób objętych domniemaniem niewinności.</w:t>
      </w:r>
    </w:p>
    <w:p w:rsidR="006004B2" w:rsidRDefault="006004B2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</w:p>
    <w:p w:rsidR="00FF5A04" w:rsidRDefault="00FF5A0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</w:p>
    <w:p w:rsidR="00FF5A04" w:rsidRDefault="00FF5A0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</w:p>
    <w:p w:rsidR="00FF5A04" w:rsidRDefault="00FF5A0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</w:p>
    <w:p w:rsidR="00874694" w:rsidRDefault="008746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</w:p>
    <w:p w:rsidR="00874694" w:rsidRDefault="0087469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</w:p>
    <w:p w:rsidR="00AD7D62" w:rsidRDefault="00AD7D62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b/>
          <w:color w:val="000000"/>
          <w:sz w:val="28"/>
          <w:szCs w:val="28"/>
        </w:rPr>
      </w:pPr>
    </w:p>
    <w:p w:rsidR="00FF5A04" w:rsidRPr="00FF5A04" w:rsidRDefault="00FF5A0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b/>
          <w:color w:val="000000"/>
          <w:sz w:val="28"/>
          <w:szCs w:val="28"/>
        </w:rPr>
      </w:pPr>
      <w:r w:rsidRPr="00FF5A04">
        <w:rPr>
          <w:rFonts w:eastAsia="Times New Roman" w:cs="mesNewRomanPSMT"/>
          <w:b/>
          <w:color w:val="000000"/>
          <w:sz w:val="28"/>
          <w:szCs w:val="28"/>
        </w:rPr>
        <w:t>BIBLIOGRAFIA</w:t>
      </w:r>
    </w:p>
    <w:p w:rsidR="00FF5A04" w:rsidRDefault="00FF5A0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</w:p>
    <w:p w:rsidR="00AA536D" w:rsidRDefault="0013385E" w:rsidP="00AA536D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>
        <w:rPr>
          <w:color w:val="050505"/>
          <w:sz w:val="24"/>
          <w:szCs w:val="24"/>
        </w:rPr>
        <w:t>W</w:t>
      </w:r>
      <w:r w:rsidRPr="00272756">
        <w:rPr>
          <w:color w:val="050505"/>
          <w:sz w:val="24"/>
          <w:szCs w:val="24"/>
        </w:rPr>
        <w:t>yrok</w:t>
      </w:r>
      <w:r>
        <w:rPr>
          <w:color w:val="050505"/>
          <w:sz w:val="24"/>
          <w:szCs w:val="24"/>
        </w:rPr>
        <w:t xml:space="preserve"> </w:t>
      </w:r>
      <w:r w:rsidRPr="00272756">
        <w:rPr>
          <w:color w:val="050505"/>
          <w:sz w:val="24"/>
          <w:szCs w:val="24"/>
        </w:rPr>
        <w:t>S</w:t>
      </w:r>
      <w:r>
        <w:rPr>
          <w:color w:val="050505"/>
          <w:sz w:val="24"/>
          <w:szCs w:val="24"/>
        </w:rPr>
        <w:t xml:space="preserve">ądu </w:t>
      </w:r>
      <w:r w:rsidRPr="00272756">
        <w:rPr>
          <w:color w:val="050505"/>
          <w:sz w:val="24"/>
          <w:szCs w:val="24"/>
        </w:rPr>
        <w:t>N</w:t>
      </w:r>
      <w:r>
        <w:rPr>
          <w:color w:val="050505"/>
          <w:sz w:val="24"/>
          <w:szCs w:val="24"/>
        </w:rPr>
        <w:t>ajwyższego</w:t>
      </w:r>
      <w:r w:rsidRPr="00272756">
        <w:rPr>
          <w:color w:val="050505"/>
          <w:sz w:val="24"/>
          <w:szCs w:val="24"/>
        </w:rPr>
        <w:t xml:space="preserve"> </w:t>
      </w:r>
      <w:r>
        <w:rPr>
          <w:color w:val="050505"/>
          <w:sz w:val="24"/>
          <w:szCs w:val="24"/>
        </w:rPr>
        <w:t>z dnia 28 marca 2008</w:t>
      </w:r>
      <w:r w:rsidRPr="00272756">
        <w:rPr>
          <w:color w:val="050505"/>
          <w:sz w:val="24"/>
          <w:szCs w:val="24"/>
        </w:rPr>
        <w:t>r.</w:t>
      </w:r>
      <w:r>
        <w:rPr>
          <w:color w:val="050505"/>
          <w:sz w:val="24"/>
          <w:szCs w:val="24"/>
        </w:rPr>
        <w:t xml:space="preserve">, sygn. akt </w:t>
      </w:r>
      <w:r w:rsidRPr="00272756">
        <w:rPr>
          <w:color w:val="050505"/>
          <w:sz w:val="24"/>
          <w:szCs w:val="24"/>
        </w:rPr>
        <w:t>III KK 484/07</w:t>
      </w:r>
      <w:r>
        <w:rPr>
          <w:color w:val="050505"/>
          <w:sz w:val="24"/>
          <w:szCs w:val="24"/>
        </w:rPr>
        <w:t xml:space="preserve">, </w:t>
      </w:r>
      <w:r w:rsidRPr="00CF79BF">
        <w:rPr>
          <w:color w:val="050505"/>
          <w:sz w:val="24"/>
          <w:szCs w:val="24"/>
        </w:rPr>
        <w:t>Biul. PK 2008/8/13</w:t>
      </w:r>
      <w:r>
        <w:rPr>
          <w:color w:val="050505"/>
          <w:sz w:val="24"/>
          <w:szCs w:val="24"/>
        </w:rPr>
        <w:t>;</w:t>
      </w:r>
    </w:p>
    <w:p w:rsidR="0013385E" w:rsidRPr="00BB7842" w:rsidRDefault="0013385E" w:rsidP="00BB7842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>
        <w:rPr>
          <w:color w:val="050505"/>
          <w:sz w:val="24"/>
          <w:szCs w:val="24"/>
        </w:rPr>
        <w:t xml:space="preserve">Wyrok </w:t>
      </w:r>
      <w:r w:rsidRPr="00CF79BF">
        <w:rPr>
          <w:color w:val="050505"/>
          <w:sz w:val="24"/>
          <w:szCs w:val="24"/>
        </w:rPr>
        <w:t>Sąd</w:t>
      </w:r>
      <w:r>
        <w:rPr>
          <w:color w:val="050505"/>
          <w:sz w:val="24"/>
          <w:szCs w:val="24"/>
        </w:rPr>
        <w:t>u</w:t>
      </w:r>
      <w:r w:rsidRPr="00CF79BF">
        <w:rPr>
          <w:color w:val="050505"/>
          <w:sz w:val="24"/>
          <w:szCs w:val="24"/>
        </w:rPr>
        <w:t xml:space="preserve"> Okręgow</w:t>
      </w:r>
      <w:r>
        <w:rPr>
          <w:color w:val="050505"/>
          <w:sz w:val="24"/>
          <w:szCs w:val="24"/>
        </w:rPr>
        <w:t>ego</w:t>
      </w:r>
      <w:r w:rsidRPr="00CF79BF">
        <w:rPr>
          <w:color w:val="050505"/>
          <w:sz w:val="24"/>
          <w:szCs w:val="24"/>
        </w:rPr>
        <w:t xml:space="preserve"> we Wrocławiu </w:t>
      </w:r>
      <w:r>
        <w:rPr>
          <w:color w:val="050505"/>
          <w:sz w:val="24"/>
          <w:szCs w:val="24"/>
        </w:rPr>
        <w:t>z dnia 28 listopada 2013</w:t>
      </w:r>
      <w:r w:rsidRPr="00CF79BF">
        <w:rPr>
          <w:color w:val="050505"/>
          <w:sz w:val="24"/>
          <w:szCs w:val="24"/>
        </w:rPr>
        <w:t>r.</w:t>
      </w:r>
      <w:r>
        <w:rPr>
          <w:color w:val="050505"/>
          <w:sz w:val="24"/>
          <w:szCs w:val="24"/>
        </w:rPr>
        <w:t>, s</w:t>
      </w:r>
      <w:r w:rsidRPr="00CF79BF">
        <w:rPr>
          <w:color w:val="050505"/>
          <w:sz w:val="24"/>
          <w:szCs w:val="24"/>
        </w:rPr>
        <w:t>ygn. akt. IV Ka 1081/13</w:t>
      </w:r>
      <w:r>
        <w:rPr>
          <w:color w:val="050505"/>
          <w:sz w:val="24"/>
          <w:szCs w:val="24"/>
        </w:rPr>
        <w:t>;</w:t>
      </w:r>
    </w:p>
    <w:p w:rsidR="00AA536D" w:rsidRPr="00AA536D" w:rsidRDefault="00AA536D" w:rsidP="00AA536D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>
        <w:rPr>
          <w:rFonts w:eastAsia="Times New Roman" w:cs="mesNewRomanPSMT"/>
          <w:color w:val="000000"/>
          <w:sz w:val="24"/>
          <w:szCs w:val="24"/>
        </w:rPr>
        <w:t xml:space="preserve">Hofmański P., Waltoś S., </w:t>
      </w:r>
      <w:r w:rsidRPr="00714AE4">
        <w:rPr>
          <w:rFonts w:eastAsia="Times New Roman" w:cs="mesNewRomanPSMT"/>
          <w:i/>
          <w:color w:val="000000"/>
          <w:sz w:val="24"/>
          <w:szCs w:val="24"/>
        </w:rPr>
        <w:t>Proces karny – Zarys systemu</w:t>
      </w:r>
      <w:r>
        <w:rPr>
          <w:rFonts w:eastAsia="Times New Roman" w:cs="mesNewRomanPSMT"/>
          <w:color w:val="000000"/>
          <w:sz w:val="24"/>
          <w:szCs w:val="24"/>
        </w:rPr>
        <w:t>, Warszawa 2013;</w:t>
      </w:r>
    </w:p>
    <w:p w:rsidR="00FF5A04" w:rsidRDefault="00714AE4" w:rsidP="00FF5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>
        <w:rPr>
          <w:rFonts w:eastAsia="Times New Roman" w:cs="mesNewRomanPSMT"/>
          <w:color w:val="000000"/>
          <w:sz w:val="24"/>
          <w:szCs w:val="24"/>
        </w:rPr>
        <w:t xml:space="preserve">Ponikowski R., Posnow W., Skorupka J., Świda Z., </w:t>
      </w:r>
      <w:r w:rsidRPr="00714AE4">
        <w:rPr>
          <w:rFonts w:eastAsia="Times New Roman" w:cs="mesNewRomanPSMT"/>
          <w:i/>
          <w:color w:val="000000"/>
          <w:sz w:val="24"/>
          <w:szCs w:val="24"/>
        </w:rPr>
        <w:t>Postępowanie karne część ogólna</w:t>
      </w:r>
      <w:r>
        <w:rPr>
          <w:rFonts w:eastAsia="Times New Roman" w:cs="mesNewRomanPSMT"/>
          <w:color w:val="000000"/>
          <w:sz w:val="24"/>
          <w:szCs w:val="24"/>
        </w:rPr>
        <w:t>, pod red. J. Skorupki, Warszawa 2012;</w:t>
      </w:r>
    </w:p>
    <w:p w:rsidR="00714AE4" w:rsidRDefault="00714AE4" w:rsidP="00FF5A0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>
        <w:rPr>
          <w:rFonts w:eastAsia="Times New Roman" w:cs="mesNewRomanPSMT"/>
          <w:color w:val="000000"/>
          <w:sz w:val="24"/>
          <w:szCs w:val="24"/>
        </w:rPr>
        <w:t xml:space="preserve">Tęcza-Paciorek A., </w:t>
      </w:r>
      <w:r w:rsidRPr="00714AE4">
        <w:rPr>
          <w:rFonts w:eastAsia="Times New Roman" w:cs="mesNewRomanPSMT"/>
          <w:i/>
          <w:color w:val="000000"/>
          <w:sz w:val="24"/>
          <w:szCs w:val="24"/>
        </w:rPr>
        <w:t>Zasada domniemania niewinności w polskim procesie karnym</w:t>
      </w:r>
      <w:r>
        <w:rPr>
          <w:rFonts w:eastAsia="Times New Roman" w:cs="mesNewRomanPSMT"/>
          <w:color w:val="000000"/>
          <w:sz w:val="24"/>
          <w:szCs w:val="24"/>
        </w:rPr>
        <w:t>, Warszawa 2012;</w:t>
      </w:r>
    </w:p>
    <w:p w:rsidR="00AA536D" w:rsidRDefault="00AA536D" w:rsidP="00714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>
        <w:rPr>
          <w:rFonts w:eastAsia="Times New Roman" w:cs="mesNewRomanPSMT"/>
          <w:color w:val="000000"/>
          <w:sz w:val="24"/>
          <w:szCs w:val="24"/>
        </w:rPr>
        <w:t xml:space="preserve">Janczarek S., </w:t>
      </w:r>
      <w:r w:rsidRPr="00AA536D">
        <w:rPr>
          <w:rFonts w:eastAsia="Times New Roman" w:cs="mesNewRomanPSMT"/>
          <w:i/>
          <w:color w:val="000000"/>
          <w:sz w:val="24"/>
          <w:szCs w:val="24"/>
        </w:rPr>
        <w:t>Strasburg o zasadzie domniemania niewinności</w:t>
      </w:r>
      <w:r>
        <w:rPr>
          <w:rFonts w:eastAsia="Times New Roman" w:cs="mesNewRomanPSMT"/>
          <w:color w:val="000000"/>
          <w:sz w:val="24"/>
          <w:szCs w:val="24"/>
        </w:rPr>
        <w:t>, „Na wokandzie” nr 23;</w:t>
      </w:r>
    </w:p>
    <w:p w:rsidR="00AA536D" w:rsidRDefault="00AA536D" w:rsidP="00714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 w:rsidRPr="00AA536D">
        <w:rPr>
          <w:rFonts w:eastAsia="Times New Roman" w:cs="mesNewRomanPSMT"/>
          <w:color w:val="000000"/>
          <w:sz w:val="24"/>
          <w:szCs w:val="24"/>
        </w:rPr>
        <w:t>Słupska-Uczkiewicz</w:t>
      </w:r>
      <w:r>
        <w:rPr>
          <w:rFonts w:eastAsia="Times New Roman" w:cs="mesNewRomanPSMT"/>
          <w:color w:val="000000"/>
          <w:sz w:val="24"/>
          <w:szCs w:val="24"/>
        </w:rPr>
        <w:t xml:space="preserve"> B., </w:t>
      </w:r>
      <w:r w:rsidRPr="00AA536D">
        <w:rPr>
          <w:rFonts w:eastAsia="Times New Roman" w:cs="mesNewRomanPSMT"/>
          <w:i/>
          <w:color w:val="000000"/>
          <w:sz w:val="24"/>
          <w:szCs w:val="24"/>
        </w:rPr>
        <w:t>Zasada domniemania niewinności fundamentem rzetelnego procesu karnego</w:t>
      </w:r>
      <w:r>
        <w:rPr>
          <w:rFonts w:eastAsia="Times New Roman" w:cs="mesNewRomanPSMT"/>
          <w:color w:val="000000"/>
          <w:sz w:val="24"/>
          <w:szCs w:val="24"/>
        </w:rPr>
        <w:t>, „</w:t>
      </w:r>
      <w:r w:rsidRPr="00AA536D">
        <w:rPr>
          <w:rFonts w:eastAsia="Times New Roman" w:cs="mesNewRomanPSMT"/>
          <w:color w:val="000000"/>
          <w:sz w:val="24"/>
          <w:szCs w:val="24"/>
        </w:rPr>
        <w:t>Palestra</w:t>
      </w:r>
      <w:r>
        <w:rPr>
          <w:rFonts w:eastAsia="Times New Roman" w:cs="mesNewRomanPSMT"/>
          <w:color w:val="000000"/>
          <w:sz w:val="24"/>
          <w:szCs w:val="24"/>
        </w:rPr>
        <w:t>”</w:t>
      </w:r>
      <w:r w:rsidRPr="00AA536D">
        <w:rPr>
          <w:rFonts w:eastAsia="Times New Roman" w:cs="mesNewRomanPSMT"/>
          <w:color w:val="000000"/>
          <w:sz w:val="24"/>
          <w:szCs w:val="24"/>
        </w:rPr>
        <w:t xml:space="preserve"> 2007</w:t>
      </w:r>
      <w:r>
        <w:rPr>
          <w:rFonts w:eastAsia="Times New Roman" w:cs="mesNewRomanPSMT"/>
          <w:color w:val="000000"/>
          <w:sz w:val="24"/>
          <w:szCs w:val="24"/>
        </w:rPr>
        <w:t>, zeszyt 3-4;</w:t>
      </w:r>
    </w:p>
    <w:p w:rsidR="00714AE4" w:rsidRDefault="00714AE4" w:rsidP="00714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 w:rsidRPr="002657B5">
        <w:rPr>
          <w:rFonts w:eastAsia="Times New Roman" w:cs="mesNewRomanPSMT"/>
          <w:color w:val="000000"/>
          <w:sz w:val="24"/>
          <w:szCs w:val="24"/>
        </w:rPr>
        <w:t>Waltoś</w:t>
      </w:r>
      <w:r w:rsidR="002657B5" w:rsidRPr="002657B5">
        <w:rPr>
          <w:rFonts w:eastAsia="Times New Roman" w:cs="mesNewRomanPSMT"/>
          <w:color w:val="000000"/>
          <w:sz w:val="24"/>
          <w:szCs w:val="24"/>
        </w:rPr>
        <w:t xml:space="preserve"> S.,</w:t>
      </w:r>
      <w:r w:rsidR="002657B5">
        <w:rPr>
          <w:rFonts w:eastAsia="Times New Roman" w:cs="mesNewRomanPSMT"/>
          <w:color w:val="000000"/>
          <w:sz w:val="24"/>
          <w:szCs w:val="24"/>
        </w:rPr>
        <w:t xml:space="preserve"> </w:t>
      </w:r>
      <w:r w:rsidR="002657B5">
        <w:rPr>
          <w:rFonts w:eastAsia="Times New Roman" w:cs="mesNewRomanPSMT"/>
          <w:i/>
          <w:color w:val="000000"/>
          <w:sz w:val="24"/>
          <w:szCs w:val="24"/>
        </w:rPr>
        <w:t xml:space="preserve">Konstytucyjna </w:t>
      </w:r>
      <w:r w:rsidR="002657B5" w:rsidRPr="002657B5">
        <w:rPr>
          <w:rFonts w:eastAsia="Times New Roman" w:cs="mesNewRomanPSMT"/>
          <w:i/>
          <w:color w:val="000000"/>
          <w:sz w:val="24"/>
          <w:szCs w:val="24"/>
        </w:rPr>
        <w:t>zasada domniemania niewinności a środki masowego przekazu</w:t>
      </w:r>
      <w:r w:rsidR="002657B5">
        <w:rPr>
          <w:rFonts w:eastAsia="Times New Roman" w:cs="mesNewRomanPSMT"/>
          <w:color w:val="000000"/>
          <w:sz w:val="24"/>
          <w:szCs w:val="24"/>
        </w:rPr>
        <w:t>, „NAUKA”</w:t>
      </w:r>
      <w:r w:rsidR="00AA536D">
        <w:rPr>
          <w:rFonts w:eastAsia="Times New Roman" w:cs="mesNewRomanPSMT"/>
          <w:color w:val="000000"/>
          <w:sz w:val="24"/>
          <w:szCs w:val="24"/>
        </w:rPr>
        <w:t xml:space="preserve"> 2009</w:t>
      </w:r>
      <w:r w:rsidR="002657B5">
        <w:rPr>
          <w:rFonts w:eastAsia="Times New Roman" w:cs="mesNewRomanPSMT"/>
          <w:color w:val="000000"/>
          <w:sz w:val="24"/>
          <w:szCs w:val="24"/>
        </w:rPr>
        <w:t xml:space="preserve"> nr 1;</w:t>
      </w:r>
    </w:p>
    <w:p w:rsidR="002657B5" w:rsidRDefault="002657B5" w:rsidP="00714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>
        <w:rPr>
          <w:rFonts w:eastAsia="Times New Roman" w:cs="mesNewRomanPSMT"/>
          <w:color w:val="000000"/>
          <w:sz w:val="24"/>
          <w:szCs w:val="24"/>
        </w:rPr>
        <w:t xml:space="preserve">Waltoś S., </w:t>
      </w:r>
      <w:r>
        <w:rPr>
          <w:rFonts w:eastAsia="Times New Roman" w:cs="mesNewRomanPSMT"/>
          <w:i/>
          <w:color w:val="000000"/>
          <w:sz w:val="24"/>
          <w:szCs w:val="24"/>
        </w:rPr>
        <w:t>Zasada domniemania niewinności a środki masowego przekazu</w:t>
      </w:r>
      <w:r w:rsidRPr="002657B5">
        <w:rPr>
          <w:rFonts w:eastAsia="Times New Roman" w:cs="mesNewRomanPSMT"/>
          <w:color w:val="000000"/>
          <w:sz w:val="24"/>
          <w:szCs w:val="24"/>
        </w:rPr>
        <w:t>,</w:t>
      </w:r>
      <w:r>
        <w:rPr>
          <w:rFonts w:eastAsia="Times New Roman" w:cs="mesNewRomanPSMT"/>
          <w:color w:val="000000"/>
          <w:sz w:val="24"/>
          <w:szCs w:val="24"/>
        </w:rPr>
        <w:t xml:space="preserve"> „Studia Iuridica”</w:t>
      </w:r>
      <w:r w:rsidR="00AA536D">
        <w:rPr>
          <w:rFonts w:eastAsia="Times New Roman" w:cs="mesNewRomanPSMT"/>
          <w:color w:val="000000"/>
          <w:sz w:val="24"/>
          <w:szCs w:val="24"/>
        </w:rPr>
        <w:t xml:space="preserve"> tom 33;</w:t>
      </w:r>
    </w:p>
    <w:p w:rsidR="00AA536D" w:rsidRPr="002657B5" w:rsidRDefault="00AA536D" w:rsidP="00714AE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NewRomanPSMT"/>
          <w:color w:val="000000"/>
          <w:sz w:val="24"/>
          <w:szCs w:val="24"/>
        </w:rPr>
      </w:pPr>
      <w:r>
        <w:rPr>
          <w:rFonts w:eastAsia="Times New Roman" w:cs="mesNewRomanPSMT"/>
          <w:color w:val="000000"/>
          <w:sz w:val="24"/>
          <w:szCs w:val="24"/>
        </w:rPr>
        <w:t xml:space="preserve">Węgrzyn A., </w:t>
      </w:r>
      <w:r w:rsidRPr="00AA536D">
        <w:rPr>
          <w:rFonts w:eastAsia="Times New Roman" w:cs="mesNewRomanPSMT"/>
          <w:i/>
          <w:color w:val="000000"/>
          <w:sz w:val="24"/>
          <w:szCs w:val="24"/>
        </w:rPr>
        <w:t>Domniemanie niewinności</w:t>
      </w:r>
      <w:r>
        <w:rPr>
          <w:rFonts w:eastAsia="Times New Roman" w:cs="mesNewRomanPSMT"/>
          <w:color w:val="000000"/>
          <w:sz w:val="24"/>
          <w:szCs w:val="24"/>
        </w:rPr>
        <w:t xml:space="preserve">, </w:t>
      </w:r>
      <w:r w:rsidRPr="00AA536D">
        <w:rPr>
          <w:rFonts w:eastAsia="Times New Roman" w:cs="mesNewRomanPSMT"/>
          <w:color w:val="000000"/>
          <w:sz w:val="24"/>
          <w:szCs w:val="24"/>
        </w:rPr>
        <w:t>http://adwokat-anna-</w:t>
      </w:r>
      <w:r>
        <w:rPr>
          <w:rFonts w:eastAsia="Times New Roman" w:cs="mesNewRomanPSMT"/>
          <w:color w:val="000000"/>
          <w:sz w:val="24"/>
          <w:szCs w:val="24"/>
        </w:rPr>
        <w:t>w</w:t>
      </w:r>
      <w:r w:rsidRPr="00AA536D">
        <w:rPr>
          <w:rFonts w:eastAsia="Times New Roman" w:cs="mesNewRomanPSMT"/>
          <w:color w:val="000000"/>
          <w:sz w:val="24"/>
          <w:szCs w:val="24"/>
        </w:rPr>
        <w:t>egrzyn.pl/domniemanie-niewinnosci</w:t>
      </w:r>
      <w:r>
        <w:rPr>
          <w:rFonts w:eastAsia="Times New Roman" w:cs="mesNewRomanPSMT"/>
          <w:color w:val="000000"/>
          <w:sz w:val="24"/>
          <w:szCs w:val="24"/>
        </w:rPr>
        <w:t>;</w:t>
      </w:r>
    </w:p>
    <w:sectPr w:rsidR="00AA536D" w:rsidRPr="002657B5" w:rsidSect="008B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CF" w:rsidRDefault="00E50ACF" w:rsidP="0013385E">
      <w:pPr>
        <w:spacing w:after="0" w:line="240" w:lineRule="auto"/>
      </w:pPr>
      <w:r>
        <w:separator/>
      </w:r>
    </w:p>
  </w:endnote>
  <w:endnote w:type="continuationSeparator" w:id="0">
    <w:p w:rsidR="00E50ACF" w:rsidRDefault="00E50ACF" w:rsidP="0013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NewRoman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uryOldSty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CF" w:rsidRDefault="00E50ACF" w:rsidP="0013385E">
      <w:pPr>
        <w:spacing w:after="0" w:line="240" w:lineRule="auto"/>
      </w:pPr>
      <w:r>
        <w:separator/>
      </w:r>
    </w:p>
  </w:footnote>
  <w:footnote w:type="continuationSeparator" w:id="0">
    <w:p w:rsidR="00E50ACF" w:rsidRDefault="00E50ACF" w:rsidP="0013385E">
      <w:pPr>
        <w:spacing w:after="0" w:line="240" w:lineRule="auto"/>
      </w:pPr>
      <w:r>
        <w:continuationSeparator/>
      </w:r>
    </w:p>
  </w:footnote>
  <w:footnote w:id="1">
    <w:p w:rsidR="00174E6B" w:rsidRDefault="00174E6B" w:rsidP="00174E6B">
      <w:pPr>
        <w:pStyle w:val="FootnoteText"/>
      </w:pPr>
      <w:r>
        <w:rPr>
          <w:rStyle w:val="FootnoteReference"/>
        </w:rPr>
        <w:footnoteRef/>
      </w:r>
      <w:r>
        <w:t xml:space="preserve"> A. Tęcza-Paciorek, </w:t>
      </w:r>
      <w:r w:rsidRPr="0013385E">
        <w:rPr>
          <w:i/>
        </w:rPr>
        <w:t>Zasada domniemania niewinności w polskim procesie karnym</w:t>
      </w:r>
      <w:r>
        <w:rPr>
          <w:i/>
        </w:rPr>
        <w:t xml:space="preserve">, </w:t>
      </w:r>
      <w:r w:rsidRPr="0013385E">
        <w:t>Warszawa 2012</w:t>
      </w:r>
      <w:r>
        <w:t>, s.52-54.</w:t>
      </w:r>
    </w:p>
  </w:footnote>
  <w:footnote w:id="2">
    <w:p w:rsidR="00BB7842" w:rsidRDefault="00BB78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S. Waltoś, </w:t>
      </w:r>
      <w:r w:rsidRPr="00BB7842">
        <w:rPr>
          <w:i/>
        </w:rPr>
        <w:t>Proces karny. Zarys systemu</w:t>
      </w:r>
      <w:r>
        <w:t>, Warszawa 2013, s. 245.</w:t>
      </w:r>
    </w:p>
  </w:footnote>
  <w:footnote w:id="3">
    <w:p w:rsidR="00BB7842" w:rsidRDefault="00BB78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Ibidem.</w:t>
      </w:r>
    </w:p>
  </w:footnote>
  <w:footnote w:id="4">
    <w:p w:rsidR="00BB7842" w:rsidRDefault="00BB78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Ibidem.</w:t>
      </w:r>
    </w:p>
  </w:footnote>
  <w:footnote w:id="5">
    <w:p w:rsidR="00BB7842" w:rsidRPr="00BB7842" w:rsidRDefault="00BB78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S. Waltoś, </w:t>
      </w:r>
      <w:r w:rsidRPr="00BB7842">
        <w:rPr>
          <w:rFonts w:eastAsia="Times New Roman" w:cs="mesNewRomanPSMT"/>
          <w:i/>
          <w:color w:val="000000"/>
        </w:rPr>
        <w:t xml:space="preserve">Zasada domniemania niewinności a środki </w:t>
      </w:r>
      <w:r w:rsidRPr="00BB7842">
        <w:rPr>
          <w:rFonts w:eastAsia="Times New Roman" w:cs="mesNewRomanPSMT"/>
          <w:i/>
          <w:color w:val="000000"/>
        </w:rPr>
        <w:t>masowego przekazu</w:t>
      </w:r>
      <w:r w:rsidRPr="00BB7842">
        <w:rPr>
          <w:rFonts w:eastAsia="Times New Roman" w:cs="mesNewRomanPSMT"/>
          <w:color w:val="000000"/>
        </w:rPr>
        <w:t>, „Studia Iuridica” tom 33</w:t>
      </w:r>
      <w:r>
        <w:rPr>
          <w:rFonts w:eastAsia="Times New Roman" w:cs="mesNewRomanPSMT"/>
          <w:color w:val="000000"/>
        </w:rPr>
        <w:t>, s. 228.</w:t>
      </w:r>
    </w:p>
  </w:footnote>
  <w:footnote w:id="6">
    <w:p w:rsidR="00BB7842" w:rsidRDefault="00BB78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7842">
        <w:rPr>
          <w:rFonts w:eastAsia="Times New Roman" w:cs="mesNewRomanPSMT"/>
          <w:color w:val="000000"/>
        </w:rPr>
        <w:t xml:space="preserve">B. </w:t>
      </w:r>
      <w:r w:rsidRPr="00BB7842">
        <w:rPr>
          <w:rFonts w:eastAsia="Times New Roman" w:cs="mesNewRomanPSMT"/>
          <w:color w:val="000000"/>
        </w:rPr>
        <w:t xml:space="preserve">Słupska-Uczkiewicz, </w:t>
      </w:r>
      <w:r w:rsidRPr="00BB7842">
        <w:rPr>
          <w:rFonts w:eastAsia="Times New Roman" w:cs="mesNewRomanPSMT"/>
          <w:i/>
          <w:color w:val="000000"/>
        </w:rPr>
        <w:t>Zasada domniemania niewinności fundamentem rzetelnego procesu karnego</w:t>
      </w:r>
      <w:r w:rsidRPr="00BB7842">
        <w:rPr>
          <w:rFonts w:eastAsia="Times New Roman" w:cs="mesNewRomanPSMT"/>
          <w:color w:val="000000"/>
        </w:rPr>
        <w:t>, „Palestra” 2007, zeszyt 3-4, s. 123.</w:t>
      </w:r>
    </w:p>
  </w:footnote>
  <w:footnote w:id="7">
    <w:p w:rsidR="00AD7D62" w:rsidRDefault="00AD7D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7D62">
        <w:rPr>
          <w:rFonts w:eastAsia="Times New Roman" w:cs="mesNewRomanPSMT"/>
          <w:color w:val="000000"/>
        </w:rPr>
        <w:t xml:space="preserve">S. Janczarek, </w:t>
      </w:r>
      <w:r w:rsidRPr="00AD7D62">
        <w:rPr>
          <w:rFonts w:eastAsia="Times New Roman" w:cs="mesNewRomanPSMT"/>
          <w:i/>
          <w:color w:val="000000"/>
        </w:rPr>
        <w:t>Strasburg o zasadzie domniemania niewinności</w:t>
      </w:r>
      <w:r w:rsidRPr="00AD7D62">
        <w:rPr>
          <w:rFonts w:eastAsia="Times New Roman" w:cs="mesNewRomanPSMT"/>
          <w:color w:val="000000"/>
        </w:rPr>
        <w:t>, „Na wokandzie” nr 23, s. 31-32.</w:t>
      </w:r>
    </w:p>
  </w:footnote>
  <w:footnote w:id="8">
    <w:p w:rsidR="00AD7D62" w:rsidRDefault="00AD7D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7D62">
        <w:rPr>
          <w:rFonts w:eastAsia="Times New Roman" w:cs="mesNewRomanPSMT"/>
          <w:color w:val="000000"/>
        </w:rPr>
        <w:t xml:space="preserve">S. Waltoś, </w:t>
      </w:r>
      <w:r w:rsidRPr="00AD7D62">
        <w:rPr>
          <w:rFonts w:eastAsia="Times New Roman" w:cs="mesNewRomanPSMT"/>
          <w:i/>
          <w:color w:val="000000"/>
        </w:rPr>
        <w:t>Konstytucyjna zasada domniemania niewinności a środki masowego przekazu</w:t>
      </w:r>
      <w:r w:rsidRPr="00AD7D62">
        <w:rPr>
          <w:rFonts w:eastAsia="Times New Roman" w:cs="mesNewRomanPSMT"/>
          <w:color w:val="000000"/>
        </w:rPr>
        <w:t>, „NAUKA” 2009 nr 1</w:t>
      </w:r>
      <w:r>
        <w:rPr>
          <w:rFonts w:eastAsia="Times New Roman" w:cs="mesNewRomanPSMT"/>
          <w:color w:val="000000"/>
        </w:rPr>
        <w:t>, s.14-16</w:t>
      </w:r>
      <w:r w:rsidRPr="00AD7D62">
        <w:rPr>
          <w:rFonts w:eastAsia="Times New Roman" w:cs="mesNewRomanPSMT"/>
          <w:color w:val="000000"/>
        </w:rPr>
        <w:t>.</w:t>
      </w:r>
    </w:p>
  </w:footnote>
  <w:footnote w:id="9">
    <w:p w:rsidR="00AD7D62" w:rsidRDefault="00AD7D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7D62">
        <w:rPr>
          <w:rFonts w:eastAsia="Times New Roman" w:cs="mesNewRomanPSMT"/>
          <w:color w:val="000000"/>
        </w:rPr>
        <w:t xml:space="preserve">A. Węgrzyn, </w:t>
      </w:r>
      <w:r w:rsidRPr="00AD7D62">
        <w:rPr>
          <w:rFonts w:eastAsia="Times New Roman" w:cs="mesNewRomanPSMT"/>
          <w:i/>
          <w:color w:val="000000"/>
        </w:rPr>
        <w:t>Domniemanie niewinności</w:t>
      </w:r>
      <w:r w:rsidRPr="00AD7D62">
        <w:rPr>
          <w:rFonts w:eastAsia="Times New Roman" w:cs="mesNewRomanPSMT"/>
          <w:color w:val="000000"/>
        </w:rPr>
        <w:t>, http://adwokat-anna-wegrzyn.pl/domniemanie-niewinnosci.</w:t>
      </w:r>
    </w:p>
  </w:footnote>
  <w:footnote w:id="10">
    <w:p w:rsidR="00AD7D62" w:rsidRDefault="00AD7D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S. Waltoś, </w:t>
      </w:r>
      <w:r w:rsidRPr="00AD7D62">
        <w:rPr>
          <w:i/>
        </w:rPr>
        <w:t>Zasada…</w:t>
      </w:r>
      <w:r>
        <w:t>, dz. cyt., s. 232.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176A2"/>
    <w:multiLevelType w:val="hybridMultilevel"/>
    <w:tmpl w:val="E7FC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B"/>
    <w:rsid w:val="000969B6"/>
    <w:rsid w:val="000F739A"/>
    <w:rsid w:val="0013385E"/>
    <w:rsid w:val="00150668"/>
    <w:rsid w:val="001748FC"/>
    <w:rsid w:val="00174E6B"/>
    <w:rsid w:val="001B0433"/>
    <w:rsid w:val="002657B5"/>
    <w:rsid w:val="00272756"/>
    <w:rsid w:val="00290E36"/>
    <w:rsid w:val="002D5156"/>
    <w:rsid w:val="002D646F"/>
    <w:rsid w:val="00314FAC"/>
    <w:rsid w:val="00321FEE"/>
    <w:rsid w:val="003B0DA5"/>
    <w:rsid w:val="003B76EE"/>
    <w:rsid w:val="003F211F"/>
    <w:rsid w:val="00400CC0"/>
    <w:rsid w:val="00406657"/>
    <w:rsid w:val="00406856"/>
    <w:rsid w:val="00436DBB"/>
    <w:rsid w:val="00457E4F"/>
    <w:rsid w:val="00576C77"/>
    <w:rsid w:val="00580A69"/>
    <w:rsid w:val="00594CA7"/>
    <w:rsid w:val="005B5F45"/>
    <w:rsid w:val="005C29B4"/>
    <w:rsid w:val="005E3C80"/>
    <w:rsid w:val="006004B2"/>
    <w:rsid w:val="006620F0"/>
    <w:rsid w:val="006808E9"/>
    <w:rsid w:val="006911F8"/>
    <w:rsid w:val="006A779D"/>
    <w:rsid w:val="006D29A7"/>
    <w:rsid w:val="006F0EBB"/>
    <w:rsid w:val="00714AE4"/>
    <w:rsid w:val="0075549B"/>
    <w:rsid w:val="007619BD"/>
    <w:rsid w:val="007640B7"/>
    <w:rsid w:val="00782CEB"/>
    <w:rsid w:val="007B022E"/>
    <w:rsid w:val="007B0CCF"/>
    <w:rsid w:val="007F1694"/>
    <w:rsid w:val="00874694"/>
    <w:rsid w:val="00887CE1"/>
    <w:rsid w:val="00891782"/>
    <w:rsid w:val="008B7D01"/>
    <w:rsid w:val="008F4CE8"/>
    <w:rsid w:val="00927A01"/>
    <w:rsid w:val="00937F2B"/>
    <w:rsid w:val="00965C20"/>
    <w:rsid w:val="009671A8"/>
    <w:rsid w:val="009A41ED"/>
    <w:rsid w:val="009B63B3"/>
    <w:rsid w:val="009E2CAA"/>
    <w:rsid w:val="00A039E3"/>
    <w:rsid w:val="00AA201F"/>
    <w:rsid w:val="00AA536D"/>
    <w:rsid w:val="00AD7D62"/>
    <w:rsid w:val="00AE4B61"/>
    <w:rsid w:val="00B2736C"/>
    <w:rsid w:val="00B90C4A"/>
    <w:rsid w:val="00BB7842"/>
    <w:rsid w:val="00C11D8B"/>
    <w:rsid w:val="00C6339C"/>
    <w:rsid w:val="00C8367F"/>
    <w:rsid w:val="00CF79BF"/>
    <w:rsid w:val="00DE2C8F"/>
    <w:rsid w:val="00DF1848"/>
    <w:rsid w:val="00E2713E"/>
    <w:rsid w:val="00E50ACF"/>
    <w:rsid w:val="00E64BB7"/>
    <w:rsid w:val="00E7115B"/>
    <w:rsid w:val="00EF24E2"/>
    <w:rsid w:val="00EF3B55"/>
    <w:rsid w:val="00FF11B1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A84B-24ED-4323-B150-3CB5C9D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A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38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3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3CA04-CBF4-44B4-871B-321E0282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3052</Words>
  <Characters>18314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Ania</cp:lastModifiedBy>
  <cp:revision>2</cp:revision>
  <dcterms:created xsi:type="dcterms:W3CDTF">2015-03-01T14:31:00Z</dcterms:created>
  <dcterms:modified xsi:type="dcterms:W3CDTF">2015-03-01T14:31:00Z</dcterms:modified>
</cp:coreProperties>
</file>