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3C" w:rsidRDefault="00631ADF">
      <w:pPr>
        <w:rPr>
          <w:b/>
        </w:rPr>
      </w:pPr>
      <w:r>
        <w:rPr>
          <w:b/>
        </w:rPr>
        <w:t>Kazus 1</w:t>
      </w:r>
    </w:p>
    <w:p w:rsidR="00631ADF" w:rsidRDefault="00631ADF" w:rsidP="00631ADF">
      <w:pPr>
        <w:jc w:val="both"/>
      </w:pPr>
      <w:r>
        <w:t>Jakub P. prowadził spółkę zajmującą się organizowaniem skoków spadochronowych. Pełnił on tam zarazem funkcję prezesa zarządu oraz kierownika szkolenia. Zatrudniał kilku instruktorów, w tym Andrzeja Z.</w:t>
      </w:r>
      <w:r w:rsidR="007B4874">
        <w:t xml:space="preserve"> oraz Anetę T.</w:t>
      </w:r>
      <w:r>
        <w:t xml:space="preserve"> </w:t>
      </w:r>
      <w:r w:rsidR="007B4874">
        <w:t>W czerwcu 2012 roku na szkolenie wybrał się uczeń-skoczek Łukasz C. Po przejściu testu teoretycznego oraz wykonaniu kilku skoków w tandemie, przyszedł czas na pierwszy skok samodzielny. Przed wylotem, spadochrony ułożył – na 2 różne systemy otwarcia – jeden z układaczy, Jerzy J.</w:t>
      </w:r>
      <w:r w:rsidR="00B361B3">
        <w:t xml:space="preserve"> Jedno z ułożeń powinno zostać przed skokiem usunięte przez instruktora nadzorującego.</w:t>
      </w:r>
      <w:r w:rsidR="007137E7">
        <w:t xml:space="preserve"> Obowiązujące w owym czasie rozporządzenie Ministra Transportu wprowadzało generalną zasadę konieczności wyposażenia spadochronów dla uczniów-skoczków w system automatycznego otwarcia (AAD), przewidywało również wyjątek zawieszający ten obowiązek w rozważanym okresie między innymi wobec spółek takich jak ta prowadzona przez Jakuba P.</w:t>
      </w:r>
      <w:r w:rsidR="007A28F7">
        <w:t xml:space="preserve"> W regulaminie wewnętrznym znalazł się jednak zapis, że spadochrony dla uczniów w system taki zostaną wyposażone.</w:t>
      </w:r>
      <w:r w:rsidR="007137E7">
        <w:t xml:space="preserve"> Jakkolwiek formalnie nad Łukaszem C. opieki nie objął żaden z instruktorów, nie wpisując się na tzw. listę załadowczą, faktycznie nadzór nad nim przejął Andrzej Z.</w:t>
      </w:r>
      <w:r w:rsidR="00B361B3">
        <w:t xml:space="preserve"> Lista załadowcza nie została skontrolowana przez Jakuba P., mimo że należało to do jego formalnie ujętych obowiązków. Z uwagi na błędne ułożenie, czasza spadochronu Łukasza C. nie otworzyła się samoczynnie. Z uwagi na brak systemu automatycznego otwarcia, nie otworzył się również spadochron zapasowy. Ręczna próba jego otwarcia przez ucznia-skoczka została podjęta zbyt późno, w wyniku czego </w:t>
      </w:r>
      <w:r w:rsidR="00CB0200">
        <w:t>Łukasz C. uderzył o ziemię ze zbyt dużą prędkością, co doprowadziło do urazów wielonarządowych i śmierci na miejscu.</w:t>
      </w:r>
    </w:p>
    <w:p w:rsidR="00CB0200" w:rsidRDefault="00CB0200" w:rsidP="00631ADF">
      <w:pPr>
        <w:jc w:val="both"/>
      </w:pPr>
      <w:r>
        <w:t>Czy i komu w rozważanej sytuacji można przypisać skutek śmiertelny?</w:t>
      </w:r>
    </w:p>
    <w:p w:rsidR="00B92199" w:rsidRDefault="00B92199" w:rsidP="00631ADF">
      <w:pPr>
        <w:jc w:val="both"/>
        <w:rPr>
          <w:b/>
        </w:rPr>
      </w:pPr>
      <w:r>
        <w:rPr>
          <w:b/>
        </w:rPr>
        <w:t>Kazus 2:</w:t>
      </w:r>
    </w:p>
    <w:p w:rsidR="00F15929" w:rsidRDefault="00BF6A18" w:rsidP="003E692B">
      <w:pPr>
        <w:spacing w:after="0"/>
        <w:jc w:val="both"/>
      </w:pPr>
      <w:r>
        <w:t>Maciej P. fascynował się rewolwerami oraz gotówką. Próbując obie swoje pasje połączyć, pewnego grudniowego dnia udał się do jednego z wrocławskich banków – o którym wiedział, że znajduje się w nim spora ilość pieniędzy – chcąc dokonać tzw. napadu z bronią w ręku. Odczekał do momentu, w którym oddział był już zamyka</w:t>
      </w:r>
      <w:r w:rsidR="004B315F">
        <w:t>ny, tak, aby na swej drodze napotkać jedynie kasjerów. Wtargnął do banku, wrzeszcząc: „pieniądze albo życie!”. Jeden z kasjerów – Paweł G. – próbował się bandycie „postawić”, odmawiając wypłaty gotówki. W związku z powyższym, Maciej postrzelił go w okolice wątroby</w:t>
      </w:r>
      <w:r w:rsidR="00BE40DC">
        <w:t>, postrzelony zaś padł na podłogę</w:t>
      </w:r>
      <w:r w:rsidR="004B315F">
        <w:t>.</w:t>
      </w:r>
      <w:r w:rsidR="00BE40DC">
        <w:t xml:space="preserve"> Drugi z kasjerów nie miał już większych wątpliwości, że spośród alternatywnych rozwiązań przedstawionych przez Macieja, woli wyzbyć się – nie swoich zresztą – pieniędzy. Maciej P. wybiegł z banku z torbą na ramieniu, w której znajdowało się 200 000 zł.</w:t>
      </w:r>
    </w:p>
    <w:p w:rsidR="003E692B" w:rsidRDefault="003E692B" w:rsidP="00631ADF">
      <w:pPr>
        <w:jc w:val="both"/>
      </w:pPr>
      <w:r>
        <w:t>W szpitalu przez kilka godzin trwała operacja, której celem było uratowanie życia Pawłowi G. W okolicach sali operacyjnej nastąpił jednak wybuch gazu, który spowodował pożar, w wyniku którego pokrzywdzony zmarł. Biegli stwierdzili, że gdyby do pożaru nie doszło – z dużym stopniem prawdopodobieństwa Pawła G. udałoby się uratować.</w:t>
      </w:r>
    </w:p>
    <w:p w:rsidR="004B315F" w:rsidRPr="00F15929" w:rsidRDefault="00BE40DC" w:rsidP="00631ADF">
      <w:pPr>
        <w:jc w:val="both"/>
      </w:pPr>
      <w:r>
        <w:t>Opisz sytuację prawną Macieja P.</w:t>
      </w:r>
      <w:r w:rsidR="003E692B">
        <w:t>, którego kolejnego dnia udało się zatrzymać (choć gotówki nie odnaleziono).</w:t>
      </w:r>
    </w:p>
    <w:p w:rsidR="00F15929" w:rsidRDefault="00F15929" w:rsidP="00631ADF">
      <w:pPr>
        <w:jc w:val="both"/>
      </w:pPr>
      <w:r>
        <w:rPr>
          <w:b/>
        </w:rPr>
        <w:t>Kazus 3:</w:t>
      </w:r>
    </w:p>
    <w:p w:rsidR="00B92199" w:rsidRDefault="00B92199" w:rsidP="00631ADF">
      <w:pPr>
        <w:jc w:val="both"/>
      </w:pPr>
      <w:r>
        <w:lastRenderedPageBreak/>
        <w:t xml:space="preserve">Łukasz Ł. pozostawał w burzliwym związku emocjonalnym z Agnieszką A. Para nieustannie się kłóciła, co prowadziło do krótkotrwałych rozstań i – równie krótkotrwałych – okresów, w których związek rozkwitał. W momentach rozłąki Agnieszka A. – jak sądził Łukasz Ł. – znajdowała pociechę w ramionach Jędrzeja J. Po kolejnej </w:t>
      </w:r>
      <w:r w:rsidR="005F646B">
        <w:t>kłótni – której powodem był właśnie rzekomy alternatywny związek Agnieszki A. – Łukasz Ł. postanowił umówić się z Jędrzejem J. na spotkanie na moście, w trakcie którego postanowił całą sprawę „wyjaśnić”. Jego zamiarem – z czego oczywiście Jędrzej sprawy sobie nie zdawał – było przerzucenie interlokutora przez barierkę mostu oraz doprowadzenie do jego utopienia. Łukasz Ł. zdawał sobie bowiem sprawę z tego, że Jędrzej panicznie boi się wody oraz – zapewne z tego właśnie powodu – nie potrafi pływać.</w:t>
      </w:r>
      <w:r w:rsidR="00F15929">
        <w:t xml:space="preserve"> W trakcie spotkania w chłodny listopadowy wieczór, niewiele dyskutując, Łukasz zgodnie z pierwotnym planem zrzucił Jędrzeja z mostu. Ten jednak nie trafił wprost do wody, lecz na wcześniejszym etapie uderzył głową o kamienie, co spowodowało jego śmierć z uwagi na uraz czaszki.</w:t>
      </w:r>
    </w:p>
    <w:p w:rsidR="00F15929" w:rsidRDefault="00F15929" w:rsidP="00631ADF">
      <w:pPr>
        <w:jc w:val="both"/>
      </w:pPr>
      <w:r>
        <w:t>Czy i jaki skutek można przypisać Łukaszowi Ł.?</w:t>
      </w:r>
    </w:p>
    <w:p w:rsidR="00282258" w:rsidRPr="00282258" w:rsidRDefault="00282258" w:rsidP="00631ADF">
      <w:pPr>
        <w:jc w:val="both"/>
        <w:rPr>
          <w:b/>
        </w:rPr>
      </w:pPr>
      <w:r w:rsidRPr="00282258">
        <w:rPr>
          <w:b/>
        </w:rPr>
        <w:t>Kazus 4:</w:t>
      </w:r>
    </w:p>
    <w:p w:rsidR="00CB0200" w:rsidRDefault="00282258" w:rsidP="00631ADF">
      <w:pPr>
        <w:jc w:val="both"/>
      </w:pPr>
      <w:r>
        <w:t xml:space="preserve">Michał K. </w:t>
      </w:r>
      <w:r w:rsidR="009D7608">
        <w:t>był przeciętnym funkcjonariuszem Policji</w:t>
      </w:r>
      <w:r w:rsidR="001B5DEE">
        <w:t>, który niedawno wprowadził się do nowego mieszkania</w:t>
      </w:r>
      <w:r w:rsidR="009D7608">
        <w:t>. Był on uprawniony do tego, aby w swoim domu przetrzymywać broń służbową; trzymał ją na szafce nocnej obok łóżka – w taki sposób, że była ona widoczna i dostępna dla każdej osoby, która by weszła do jego sypialni. Pewnego dnia odwiedziła go znajoma – Agnieszka U. – która borykała się z myślami samobójczymi, o czym Michał K. jednak nie miał pojęcia.</w:t>
      </w:r>
      <w:r w:rsidR="001B5DEE">
        <w:t xml:space="preserve"> Funkcjonariusz oprowadził koleżankę po nowym mieszkaniu, pokazując jej wszystkie pomieszczenia. Gdy zorientował się, że broń leży na zewnątrz (co Agnieszka U. dostrzegła) – Michał K. schował pistolet do szuflady w szafce nocnej stojącej obok łóżka.</w:t>
      </w:r>
      <w:r w:rsidR="009D7608">
        <w:t xml:space="preserve"> </w:t>
      </w:r>
      <w:r w:rsidR="001B5DEE">
        <w:t>W momencie, gdy Michał K. udał się do łazienki – usłyszał dźwięk wystrzału z pistoletu. Okazało się, że Agnieszka U. popełniła samobójstwo używając broni służbowej Michała K.</w:t>
      </w:r>
    </w:p>
    <w:p w:rsidR="001B5DEE" w:rsidRPr="00631ADF" w:rsidRDefault="001B5DEE" w:rsidP="00631ADF">
      <w:pPr>
        <w:jc w:val="both"/>
      </w:pPr>
      <w:r>
        <w:t>Czy Michała K. można pociągnąć do odpowiedzialności karnej? Jeśli tak – za jakie przestępstwo?</w:t>
      </w:r>
    </w:p>
    <w:p w:rsidR="00631ADF" w:rsidRDefault="00631ADF" w:rsidP="00F15929">
      <w:pPr>
        <w:jc w:val="both"/>
        <w:rPr>
          <w:b/>
        </w:rPr>
      </w:pPr>
      <w:r>
        <w:rPr>
          <w:b/>
        </w:rPr>
        <w:t>(P)odpowiedzi:</w:t>
      </w:r>
    </w:p>
    <w:p w:rsidR="00631ADF" w:rsidRDefault="00631ADF" w:rsidP="00F15929">
      <w:pPr>
        <w:pStyle w:val="Akapitzlist"/>
        <w:numPr>
          <w:ilvl w:val="0"/>
          <w:numId w:val="1"/>
        </w:numPr>
        <w:jc w:val="both"/>
      </w:pPr>
      <w:r>
        <w:t>Wyrok Sądu Najwyższego z dnia 12 października 2016 r., V KK 153/16 wraz z glosą S. Tarapaty (OSP 2017, nr 12)</w:t>
      </w:r>
    </w:p>
    <w:p w:rsidR="005F646B" w:rsidRDefault="005F646B" w:rsidP="00F15929">
      <w:pPr>
        <w:pStyle w:val="Akapitzlist"/>
        <w:numPr>
          <w:ilvl w:val="0"/>
          <w:numId w:val="1"/>
        </w:numPr>
        <w:jc w:val="both"/>
      </w:pPr>
      <w:r>
        <w:t>R. Dębski,</w:t>
      </w:r>
      <w:r w:rsidR="00F15929">
        <w:t xml:space="preserve"> </w:t>
      </w:r>
      <w:r w:rsidR="00F15929">
        <w:rPr>
          <w:i/>
        </w:rPr>
        <w:t>Pozaustawowe znamiona przestępstwa. O ustawowym charakterze norm prawa karnego oraz o znamionach typu nie określonych w ustawie</w:t>
      </w:r>
      <w:r w:rsidR="00F15929">
        <w:t>, Łódź 1995,</w:t>
      </w:r>
      <w:r>
        <w:t xml:space="preserve"> s. 224.</w:t>
      </w:r>
    </w:p>
    <w:p w:rsidR="001B5DEE" w:rsidRPr="00631ADF" w:rsidRDefault="001B5DEE" w:rsidP="00F15929">
      <w:pPr>
        <w:pStyle w:val="Akapitzlist"/>
        <w:numPr>
          <w:ilvl w:val="0"/>
          <w:numId w:val="1"/>
        </w:numPr>
        <w:jc w:val="both"/>
      </w:pPr>
      <w:r>
        <w:t xml:space="preserve">S. </w:t>
      </w:r>
      <w:proofErr w:type="spellStart"/>
      <w:r>
        <w:t>Tarapata</w:t>
      </w:r>
      <w:proofErr w:type="spellEnd"/>
      <w:r>
        <w:t>,</w:t>
      </w:r>
      <w:r w:rsidR="004A4BC6">
        <w:t xml:space="preserve"> </w:t>
      </w:r>
      <w:r w:rsidR="004A4BC6">
        <w:rPr>
          <w:i/>
        </w:rPr>
        <w:t>Negatywne przesłanki przypisania sprawstwa przestępstwa skutkowego w kontekście subiektywnych elementów odpowiedzialności karnej – zagadnienia wybrane</w:t>
      </w:r>
      <w:r w:rsidR="004A4BC6">
        <w:t xml:space="preserve"> [w:] J. Giezek, P. Kardas (red.), </w:t>
      </w:r>
      <w:r w:rsidR="004A4BC6">
        <w:rPr>
          <w:i/>
        </w:rPr>
        <w:t>Obiektywne oraz subiektywne przypisanie odpowiedzialności karnej</w:t>
      </w:r>
      <w:r w:rsidR="004A4BC6">
        <w:t>, Warszawa 2016,</w:t>
      </w:r>
      <w:r>
        <w:t xml:space="preserve"> </w:t>
      </w:r>
      <w:r w:rsidR="004A4BC6">
        <w:t>s. 369-370</w:t>
      </w:r>
    </w:p>
    <w:sectPr w:rsidR="001B5DEE" w:rsidRPr="00631ADF" w:rsidSect="00DB0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951C8"/>
    <w:multiLevelType w:val="hybridMultilevel"/>
    <w:tmpl w:val="EEE69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1ADF"/>
    <w:rsid w:val="001203BD"/>
    <w:rsid w:val="001B5DEE"/>
    <w:rsid w:val="00282258"/>
    <w:rsid w:val="003433A8"/>
    <w:rsid w:val="003A273A"/>
    <w:rsid w:val="003E692B"/>
    <w:rsid w:val="004A4BC6"/>
    <w:rsid w:val="004B315F"/>
    <w:rsid w:val="005F646B"/>
    <w:rsid w:val="00631ADF"/>
    <w:rsid w:val="007137E7"/>
    <w:rsid w:val="007A28F7"/>
    <w:rsid w:val="007B4874"/>
    <w:rsid w:val="007B4ACD"/>
    <w:rsid w:val="009D7608"/>
    <w:rsid w:val="00B361B3"/>
    <w:rsid w:val="00B92199"/>
    <w:rsid w:val="00BE40DC"/>
    <w:rsid w:val="00BF6A18"/>
    <w:rsid w:val="00CB0200"/>
    <w:rsid w:val="00D67BC2"/>
    <w:rsid w:val="00DB0E3C"/>
    <w:rsid w:val="00E64C86"/>
    <w:rsid w:val="00F15929"/>
    <w:rsid w:val="00F6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B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7BC2"/>
    <w:pPr>
      <w:ind w:left="720"/>
      <w:contextualSpacing/>
    </w:pPr>
  </w:style>
  <w:style w:type="paragraph" w:customStyle="1" w:styleId="przypis">
    <w:name w:val="przypis"/>
    <w:basedOn w:val="Tekstprzypisudolnego"/>
    <w:link w:val="przypisZnak"/>
    <w:qFormat/>
    <w:rsid w:val="00D67BC2"/>
    <w:pPr>
      <w:jc w:val="both"/>
    </w:pPr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7B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7BC2"/>
    <w:rPr>
      <w:sz w:val="20"/>
      <w:szCs w:val="20"/>
    </w:rPr>
  </w:style>
  <w:style w:type="character" w:customStyle="1" w:styleId="przypisZnak">
    <w:name w:val="przypis Znak"/>
    <w:basedOn w:val="TekstprzypisudolnegoZnak"/>
    <w:link w:val="przypis"/>
    <w:rsid w:val="00D67BC2"/>
    <w:rPr>
      <w:rFonts w:ascii="Times New Roman" w:hAnsi="Times New Roman" w:cs="Times New Roman"/>
    </w:rPr>
  </w:style>
  <w:style w:type="paragraph" w:customStyle="1" w:styleId="pismoprocesowelubartyku">
    <w:name w:val="pismo procesowe lub artykuł"/>
    <w:basedOn w:val="Normalny"/>
    <w:link w:val="pismoprocesowelubartykuZnak"/>
    <w:qFormat/>
    <w:rsid w:val="00D67BC2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ismoprocesowelubartykuZnak">
    <w:name w:val="pismo procesowe lub artykuł Znak"/>
    <w:basedOn w:val="Domylnaczcionkaakapitu"/>
    <w:link w:val="pismoprocesowelubartyku"/>
    <w:rsid w:val="00D67BC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829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Konrad</cp:lastModifiedBy>
  <cp:revision>2</cp:revision>
  <dcterms:created xsi:type="dcterms:W3CDTF">2017-11-16T20:49:00Z</dcterms:created>
  <dcterms:modified xsi:type="dcterms:W3CDTF">2017-12-01T11:31:00Z</dcterms:modified>
</cp:coreProperties>
</file>