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B1EB" w14:textId="391A15ED" w:rsidR="0006146D" w:rsidRDefault="00B47DC8">
      <w:r>
        <w:t>Kacper i Krystian byli kolegami z klasy</w:t>
      </w:r>
      <w:r w:rsidR="00543614">
        <w:t>. Obaj mieli 17 lat</w:t>
      </w:r>
      <w:r>
        <w:t xml:space="preserve">. </w:t>
      </w:r>
      <w:r w:rsidR="000B1D4A">
        <w:t xml:space="preserve">W jeden z weekendów, podczas nieobecności rodziców Kacpra w domu, postanowił on zorganizować spotkanie z kilkoma kolegami, polegające na wspólnym </w:t>
      </w:r>
      <w:r w:rsidR="00543614">
        <w:t xml:space="preserve">graniu na PS w Fifę. </w:t>
      </w:r>
      <w:r w:rsidR="00026920">
        <w:t xml:space="preserve">Spotkanie było przy tym umiarkowanie zakrapiane alkoholem. Wszyscy chłopcy grali turniej, rozgrywając go każdorazowo </w:t>
      </w:r>
      <w:r w:rsidR="00E26B39">
        <w:t xml:space="preserve">„1 na 1”. W trakcie zabawy wszyscy się niekiedy przepychali, dawali sobie „kuksańce” w związku z wygraną </w:t>
      </w:r>
      <w:r w:rsidR="001E2792">
        <w:t xml:space="preserve">lub przegraną itp. Tak też się stało w przypadku, gdy mecz wygrał Krystian. Kacper, dla żartu, </w:t>
      </w:r>
      <w:r w:rsidR="006417F6">
        <w:t xml:space="preserve">złapał go za nogi, chcąc, aby </w:t>
      </w:r>
      <w:r w:rsidR="008C63E8">
        <w:t xml:space="preserve">Krystian wykonał przewrót w tył. </w:t>
      </w:r>
      <w:r w:rsidR="00F30B09">
        <w:t xml:space="preserve">Kacper </w:t>
      </w:r>
      <w:r w:rsidR="006B1D13">
        <w:t xml:space="preserve">uderzył karkiem w podłogę (płytki), „zamroczyło go”, stwierdził, że nie może się podnieść. Kacper </w:t>
      </w:r>
      <w:r w:rsidR="0000601F">
        <w:t xml:space="preserve">– jako że miał doświadczenie z walk MMA – stwierdził, że </w:t>
      </w:r>
      <w:r w:rsidR="006250D9">
        <w:t>to zwykły knockout i nie ma się czym przejmować,</w:t>
      </w:r>
      <w:r w:rsidR="001B0DA8">
        <w:t xml:space="preserve"> gdyż Krystian niedługo dojdzie do siebie</w:t>
      </w:r>
      <w:r w:rsidR="004A0934">
        <w:t>, chłopcy przesunęli go na dywan, aby było mu wygodniej leżeć</w:t>
      </w:r>
      <w:r w:rsidR="001B0DA8">
        <w:t xml:space="preserve">. Po pewnym czasie </w:t>
      </w:r>
      <w:r w:rsidR="004A0934">
        <w:t>Krystian stwierdził jednak, że nie czuje nóg.</w:t>
      </w:r>
      <w:r w:rsidR="00565FC0">
        <w:t xml:space="preserve"> Wówczas Kacper wezwał karetkę.</w:t>
      </w:r>
    </w:p>
    <w:p w14:paraId="6BD3EBA0" w14:textId="2965EE95" w:rsidR="00565FC0" w:rsidRDefault="00565FC0">
      <w:r>
        <w:t xml:space="preserve">W wyniku badania lekarskiego okazało się, że Krystian </w:t>
      </w:r>
      <w:r w:rsidR="00323A90">
        <w:t>doznał urazu głowy z ogniskiem hypod</w:t>
      </w:r>
      <w:r w:rsidR="000B1DD8">
        <w:t>ensyjnym w prawym płaci czołowym, urazu grzbietu z kręgozmykiem urazowym przednim ze zniesieniem przestrzeni międzykręgowej</w:t>
      </w:r>
      <w:r w:rsidR="00CF1244">
        <w:t xml:space="preserve"> z obrzękiem rdzenia szyjnego, porażenia 4-kończynowego</w:t>
      </w:r>
      <w:r w:rsidR="002D774D">
        <w:t>, niedowładu kończyn górnych, porażenia kończyn dolnych, znacznego deficytu ruchomości czynne</w:t>
      </w:r>
      <w:r w:rsidR="00DC5CC5">
        <w:t>j w zakresie kończyn górnych, braku śladu ruchów w zakresie obu kończyn dolnych – tj. obrażeń całkowicie uzależniających go od drugiej osoby</w:t>
      </w:r>
      <w:r w:rsidR="004D04E7">
        <w:t xml:space="preserve"> powodujących u niego ciężką chorobę długotrwałą i ciężkie trwałe kalectwo. W konsekwencji Kacprowi zarzucono popełnienie zbrodni z art. 156 § 1 pkt 2 k.p.k.</w:t>
      </w:r>
    </w:p>
    <w:p w14:paraId="09B71915" w14:textId="384FFB30" w:rsidR="000820D4" w:rsidRDefault="00673500">
      <w:r>
        <w:t xml:space="preserve">Z zeznań świadków, w tym samego pokrzywdzonego, wynikało, że lekarze udzielający pomocy Krystianowi po zdarzeniu uznali odniesione przezeń urazy za tak rozległe, że praktycznie niemożliwe jest, aby nastąpiły one w toku próby przewrotu w tył. </w:t>
      </w:r>
      <w:r w:rsidR="00E75F10">
        <w:t>Porównywali oni te obrażenia do sytuacji poważnego wypadku samochodowego lub skoku na główkę do pustego basenu.</w:t>
      </w:r>
      <w:r w:rsidR="000820D4">
        <w:t xml:space="preserve"> Podobnie wypowiadał się również powołany w postępowaniu przygotowawczym biegły, który uznał, że z uwagi na urazy doszło raczej do podniesienia pokrzywdzonego i rzucenia nim o podłogę.</w:t>
      </w:r>
    </w:p>
    <w:p w14:paraId="43F6511C" w14:textId="4B94A458" w:rsidR="00A9733B" w:rsidRDefault="00A9733B">
      <w:r>
        <w:t xml:space="preserve">W postępowaniu sądowym powołany został również biegły z zakresu technik walki, który na podstawie przedstawionego mu materiału dowodowego – w tym zeznań pokrzywdzonego, który stwierdził, że do uniesienia go nie doszło – stwierdził, że oskarżony nie zastosował żadnego ruchu stosowanego w sztukach walki, lecz próbował </w:t>
      </w:r>
      <w:r w:rsidR="00E07B79">
        <w:t xml:space="preserve">w ramach zabawy doprowadzić do przeprowadzenia przez </w:t>
      </w:r>
      <w:r w:rsidR="000F6DC0">
        <w:t>pokrzywdzonego przewrotu w tył.</w:t>
      </w:r>
      <w:r w:rsidR="00183C93">
        <w:t xml:space="preserve"> Dodał, że jest to ruch całkowicie bezpieczny i „teoretycznie bezkontuzyjny”, stosowany powszechnie w ramach zabaw nawet </w:t>
      </w:r>
      <w:r w:rsidR="00183C93">
        <w:lastRenderedPageBreak/>
        <w:t>między dziećmi czy na lekcjach WF-u, zaś powstanie takiego urazu, jak u pokrzywdzonego, musiało być ekstremalnie nieszczęśliwym wypadkiem, praktycznie niemożliwym do zaistnienia.</w:t>
      </w:r>
    </w:p>
    <w:p w14:paraId="3E21C342" w14:textId="0109D48D" w:rsidR="009B70CD" w:rsidRDefault="009B70CD">
      <w:r>
        <w:t>Sąd pierwszej instancji, analizując opinię biegłego – i przyjmując, że doszło do nieszczęśliwego wypadku</w:t>
      </w:r>
      <w:r w:rsidR="00066B0C">
        <w:t xml:space="preserve">, a oskarżony nie miał zamiaru spowodować ciężkiego uszczerbku na zdrowiu pokrzywdzonego – uznał Kacpra za winnym nieumyślnego spowodowania tego uszczerbku, przyjmując, że nie dochował on ostrożności wymaganych w </w:t>
      </w:r>
      <w:r w:rsidR="009061F6">
        <w:t xml:space="preserve">opisanych okolicznościach. Przypisany Kacprowi czyn zakwalifikował z art. 156 § 2 k.k. i </w:t>
      </w:r>
      <w:r w:rsidR="008642B9">
        <w:t>skazał go na karę pozbawienia wolności z warunkowym zawieszeniem jej wykonania na okres 1 roku oraz zasądził zadośćuczynienie na rzecz pokrzywdzonego.</w:t>
      </w:r>
    </w:p>
    <w:p w14:paraId="3C6122F7" w14:textId="517EAE43" w:rsidR="008642B9" w:rsidRPr="008642B9" w:rsidRDefault="008642B9">
      <w:r>
        <w:rPr>
          <w:b/>
          <w:bCs/>
        </w:rPr>
        <w:t>Czy orzeczenie Sądu jest trafne?</w:t>
      </w:r>
    </w:p>
    <w:sectPr w:rsidR="008642B9" w:rsidRPr="0086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6F"/>
    <w:rsid w:val="0000601F"/>
    <w:rsid w:val="00026920"/>
    <w:rsid w:val="000554FD"/>
    <w:rsid w:val="0006146D"/>
    <w:rsid w:val="00066B0C"/>
    <w:rsid w:val="000820D4"/>
    <w:rsid w:val="000B1D4A"/>
    <w:rsid w:val="000B1DD8"/>
    <w:rsid w:val="000C3618"/>
    <w:rsid w:val="000D58E8"/>
    <w:rsid w:val="000F6DC0"/>
    <w:rsid w:val="00116C95"/>
    <w:rsid w:val="00183C93"/>
    <w:rsid w:val="001B0DA8"/>
    <w:rsid w:val="001E2792"/>
    <w:rsid w:val="00244B80"/>
    <w:rsid w:val="002D774D"/>
    <w:rsid w:val="00323A90"/>
    <w:rsid w:val="003A11D5"/>
    <w:rsid w:val="004A0934"/>
    <w:rsid w:val="004D04E7"/>
    <w:rsid w:val="00543614"/>
    <w:rsid w:val="00565893"/>
    <w:rsid w:val="00565FC0"/>
    <w:rsid w:val="006250D9"/>
    <w:rsid w:val="006417F6"/>
    <w:rsid w:val="00673500"/>
    <w:rsid w:val="006B1D13"/>
    <w:rsid w:val="008642B9"/>
    <w:rsid w:val="008C63E8"/>
    <w:rsid w:val="008D5EE9"/>
    <w:rsid w:val="008E6883"/>
    <w:rsid w:val="008F036F"/>
    <w:rsid w:val="009061F6"/>
    <w:rsid w:val="0090781D"/>
    <w:rsid w:val="009B70CD"/>
    <w:rsid w:val="00A10B44"/>
    <w:rsid w:val="00A4007E"/>
    <w:rsid w:val="00A4072A"/>
    <w:rsid w:val="00A9733B"/>
    <w:rsid w:val="00B47DC8"/>
    <w:rsid w:val="00CB13D2"/>
    <w:rsid w:val="00CF1244"/>
    <w:rsid w:val="00DA513D"/>
    <w:rsid w:val="00DC5CC5"/>
    <w:rsid w:val="00E07B79"/>
    <w:rsid w:val="00E26B39"/>
    <w:rsid w:val="00E75F10"/>
    <w:rsid w:val="00F30B09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4E6F"/>
  <w15:chartTrackingRefBased/>
  <w15:docId w15:val="{4A5C1274-F8C8-4B68-B397-191CAF9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D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16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Calibri" w:cs="Calibri"/>
      <w:color w:val="000000"/>
      <w:sz w:val="20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6C95"/>
    <w:rPr>
      <w:rFonts w:ascii="Times New Roman" w:eastAsia="Calibri" w:hAnsi="Times New Roman" w:cs="Calibri"/>
      <w:color w:val="000000"/>
      <w:sz w:val="20"/>
      <w:u w:color="000000"/>
    </w:rPr>
  </w:style>
  <w:style w:type="paragraph" w:customStyle="1" w:styleId="przypis">
    <w:name w:val="przypis"/>
    <w:basedOn w:val="Tekstprzypisudolnego"/>
    <w:link w:val="przypisZnak"/>
    <w:autoRedefine/>
    <w:qFormat/>
    <w:rsid w:val="00DA513D"/>
  </w:style>
  <w:style w:type="character" w:customStyle="1" w:styleId="przypisZnak">
    <w:name w:val="przypis Znak"/>
    <w:basedOn w:val="TekstprzypisudolnegoZnak"/>
    <w:link w:val="przypis"/>
    <w:rsid w:val="00DA513D"/>
    <w:rPr>
      <w:rFonts w:ascii="Times New Roman" w:eastAsia="Calibri" w:hAnsi="Times New Roman" w:cs="Calibri"/>
      <w:color w:val="000000"/>
      <w:sz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Lipiński</dc:creator>
  <cp:keywords/>
  <dc:description/>
  <cp:lastModifiedBy>Konrad Lipiński</cp:lastModifiedBy>
  <cp:revision>35</cp:revision>
  <dcterms:created xsi:type="dcterms:W3CDTF">2023-11-09T10:17:00Z</dcterms:created>
  <dcterms:modified xsi:type="dcterms:W3CDTF">2023-11-09T10:47:00Z</dcterms:modified>
</cp:coreProperties>
</file>