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38" w:rsidRPr="00B32B23" w:rsidRDefault="00B32B23">
      <w:pPr>
        <w:rPr>
          <w:b/>
        </w:rPr>
      </w:pPr>
      <w:r w:rsidRPr="00B32B23">
        <w:rPr>
          <w:b/>
        </w:rPr>
        <w:t>Polityka antymonopolowa</w:t>
      </w:r>
    </w:p>
    <w:p w:rsidR="00B32B23" w:rsidRDefault="00B32B23"/>
    <w:p w:rsidR="00B32B23" w:rsidRDefault="00B32B23">
      <w:pPr>
        <w:rPr>
          <w:b/>
        </w:rPr>
      </w:pPr>
      <w:r w:rsidRPr="00B32B23">
        <w:rPr>
          <w:b/>
        </w:rPr>
        <w:t xml:space="preserve">Temat: Zasada de </w:t>
      </w:r>
      <w:proofErr w:type="spellStart"/>
      <w:r>
        <w:rPr>
          <w:b/>
        </w:rPr>
        <w:t>mini</w:t>
      </w:r>
      <w:r w:rsidRPr="00B32B23">
        <w:rPr>
          <w:b/>
        </w:rPr>
        <w:t>mis</w:t>
      </w:r>
      <w:proofErr w:type="spellEnd"/>
      <w:r w:rsidRPr="00B32B23">
        <w:rPr>
          <w:b/>
        </w:rPr>
        <w:t xml:space="preserve"> w odniesieniu do pomocy publicznej.</w:t>
      </w:r>
    </w:p>
    <w:p w:rsidR="00B32B23" w:rsidRDefault="00B32B23">
      <w:pPr>
        <w:rPr>
          <w:b/>
        </w:rPr>
      </w:pPr>
    </w:p>
    <w:p w:rsidR="002B18D1" w:rsidRDefault="002B18D1">
      <w:r>
        <w:t xml:space="preserve">W odniesieniu do wszystkich przypadków pomocy </w:t>
      </w:r>
      <w:r w:rsidR="0066765F">
        <w:t xml:space="preserve">publicznej </w:t>
      </w:r>
      <w:r>
        <w:t xml:space="preserve">de </w:t>
      </w:r>
      <w:proofErr w:type="spellStart"/>
      <w:r>
        <w:t>minimis</w:t>
      </w:r>
      <w:proofErr w:type="spellEnd"/>
      <w:r>
        <w:t xml:space="preserve"> bierze się pod uwagę środki pochodzące z państwa członkowskiego oraz środki z zasobów UE. Limit tej pomocy (w zależności od rodzaju działalności gospodarczej) odpowiada określonym kwotom dotacji brutto, a zatem jest to wielkość pomocy przed opodatkowaniem.</w:t>
      </w:r>
    </w:p>
    <w:p w:rsidR="002B18D1" w:rsidRPr="002B18D1" w:rsidRDefault="002B18D1"/>
    <w:p w:rsidR="00EE5882" w:rsidRPr="0066765F" w:rsidRDefault="005F249E" w:rsidP="003377B3">
      <w:pPr>
        <w:pStyle w:val="Default"/>
        <w:spacing w:after="240" w:line="360" w:lineRule="auto"/>
        <w:jc w:val="both"/>
        <w:rPr>
          <w:rFonts w:ascii="Times New Roman" w:hAnsi="Times New Roman" w:cs="Times New Roman"/>
          <w:bCs/>
          <w:iCs/>
        </w:rPr>
      </w:pPr>
      <w:r w:rsidRPr="0066765F">
        <w:rPr>
          <w:rFonts w:ascii="Times New Roman" w:hAnsi="Times New Roman" w:cs="Times New Roman"/>
          <w:b/>
        </w:rPr>
        <w:t>1.</w:t>
      </w:r>
      <w:r w:rsidRPr="0066765F">
        <w:rPr>
          <w:rFonts w:ascii="Times New Roman" w:hAnsi="Times New Roman" w:cs="Times New Roman"/>
        </w:rPr>
        <w:t xml:space="preserve"> </w:t>
      </w:r>
      <w:r w:rsidR="00B32B23" w:rsidRPr="0066765F">
        <w:rPr>
          <w:rFonts w:ascii="Times New Roman" w:hAnsi="Times New Roman" w:cs="Times New Roman"/>
          <w:b/>
        </w:rPr>
        <w:t xml:space="preserve">Rozporządzenie Komisji nr 1407/2013 </w:t>
      </w:r>
      <w:r w:rsidR="00EE5882" w:rsidRPr="0066765F">
        <w:rPr>
          <w:rFonts w:ascii="Times New Roman" w:hAnsi="Times New Roman" w:cs="Times New Roman"/>
          <w:b/>
          <w:bCs/>
        </w:rPr>
        <w:t xml:space="preserve">w sprawie stosowania art. 107 i 108 Traktatu o funkcjonowaniu Unii Europejskiej do pomocy </w:t>
      </w:r>
      <w:r w:rsidR="00EE5882" w:rsidRPr="0066765F">
        <w:rPr>
          <w:rFonts w:ascii="Times New Roman" w:hAnsi="Times New Roman" w:cs="Times New Roman"/>
          <w:b/>
          <w:bCs/>
          <w:iCs/>
        </w:rPr>
        <w:t xml:space="preserve">de </w:t>
      </w:r>
      <w:proofErr w:type="spellStart"/>
      <w:r w:rsidR="002B18D1" w:rsidRPr="0066765F">
        <w:rPr>
          <w:rFonts w:ascii="Times New Roman" w:hAnsi="Times New Roman" w:cs="Times New Roman"/>
          <w:b/>
          <w:bCs/>
          <w:iCs/>
        </w:rPr>
        <w:t>mini</w:t>
      </w:r>
      <w:r w:rsidRPr="0066765F">
        <w:rPr>
          <w:rFonts w:ascii="Times New Roman" w:hAnsi="Times New Roman" w:cs="Times New Roman"/>
          <w:b/>
          <w:bCs/>
          <w:iCs/>
        </w:rPr>
        <w:t>mis</w:t>
      </w:r>
      <w:proofErr w:type="spellEnd"/>
      <w:r w:rsidRPr="0066765F">
        <w:rPr>
          <w:rFonts w:ascii="Times New Roman" w:hAnsi="Times New Roman" w:cs="Times New Roman"/>
          <w:b/>
          <w:bCs/>
          <w:iCs/>
        </w:rPr>
        <w:t>.</w:t>
      </w:r>
      <w:r w:rsidRPr="0066765F">
        <w:rPr>
          <w:rFonts w:ascii="Times New Roman" w:hAnsi="Times New Roman" w:cs="Times New Roman"/>
          <w:bCs/>
          <w:i/>
          <w:iCs/>
        </w:rPr>
        <w:t xml:space="preserve"> </w:t>
      </w:r>
    </w:p>
    <w:p w:rsidR="003377B3" w:rsidRDefault="003377B3" w:rsidP="0066765F">
      <w:pPr>
        <w:pStyle w:val="Default"/>
        <w:spacing w:after="240" w:line="360" w:lineRule="auto"/>
        <w:jc w:val="both"/>
        <w:rPr>
          <w:rFonts w:ascii="Times New Roman" w:hAnsi="Times New Roman" w:cs="Times New Roman"/>
          <w:bCs/>
          <w:iCs/>
        </w:rPr>
      </w:pPr>
      <w:r>
        <w:rPr>
          <w:rFonts w:ascii="Times New Roman" w:hAnsi="Times New Roman" w:cs="Times New Roman"/>
          <w:bCs/>
          <w:iCs/>
        </w:rPr>
        <w:t>Przepisów rozporządzenia nie stosuje się do pomocy:</w:t>
      </w:r>
    </w:p>
    <w:p w:rsidR="003377B3" w:rsidRDefault="003377B3" w:rsidP="003377B3">
      <w:pPr>
        <w:pStyle w:val="CM4"/>
        <w:spacing w:line="360" w:lineRule="auto"/>
        <w:jc w:val="both"/>
        <w:rPr>
          <w:rFonts w:ascii="Times New Roman" w:hAnsi="Times New Roman" w:cs="Times New Roman"/>
          <w:color w:val="000000"/>
        </w:rPr>
      </w:pPr>
      <w:r w:rsidRPr="003377B3">
        <w:rPr>
          <w:rFonts w:ascii="Times New Roman" w:hAnsi="Times New Roman" w:cs="Times New Roman"/>
          <w:color w:val="000000"/>
        </w:rPr>
        <w:t>a) przyznawanej</w:t>
      </w:r>
      <w:r>
        <w:rPr>
          <w:rFonts w:ascii="Times New Roman" w:hAnsi="Times New Roman" w:cs="Times New Roman"/>
          <w:bCs/>
          <w:iCs/>
        </w:rPr>
        <w:t xml:space="preserve"> </w:t>
      </w:r>
      <w:r w:rsidRPr="003377B3">
        <w:rPr>
          <w:rFonts w:ascii="Times New Roman" w:hAnsi="Times New Roman" w:cs="Times New Roman"/>
          <w:color w:val="000000"/>
        </w:rPr>
        <w:t>przedsiębiorstwom prowadzącym działalność w sektorze rybołówstwa i akwakultury</w:t>
      </w:r>
      <w:r>
        <w:rPr>
          <w:rFonts w:ascii="Times New Roman" w:hAnsi="Times New Roman" w:cs="Times New Roman"/>
          <w:color w:val="000000"/>
        </w:rPr>
        <w:t>;</w:t>
      </w:r>
    </w:p>
    <w:p w:rsidR="003377B3" w:rsidRPr="003377B3" w:rsidRDefault="003377B3" w:rsidP="003377B3">
      <w:pPr>
        <w:pStyle w:val="CM4"/>
        <w:spacing w:line="360" w:lineRule="auto"/>
        <w:jc w:val="both"/>
        <w:rPr>
          <w:rFonts w:ascii="Times New Roman" w:hAnsi="Times New Roman" w:cs="Times New Roman"/>
          <w:color w:val="000000"/>
        </w:rPr>
      </w:pPr>
      <w:r w:rsidRPr="003377B3">
        <w:rPr>
          <w:rFonts w:ascii="Times New Roman" w:hAnsi="Times New Roman" w:cs="Times New Roman"/>
          <w:color w:val="000000"/>
        </w:rPr>
        <w:t>b) przyznawanej</w:t>
      </w:r>
      <w:r>
        <w:rPr>
          <w:rFonts w:ascii="Times New Roman" w:hAnsi="Times New Roman" w:cs="Times New Roman"/>
          <w:bCs/>
          <w:iCs/>
        </w:rPr>
        <w:t xml:space="preserve"> </w:t>
      </w:r>
      <w:r w:rsidRPr="003377B3">
        <w:rPr>
          <w:rFonts w:ascii="Times New Roman" w:hAnsi="Times New Roman" w:cs="Times New Roman"/>
          <w:color w:val="000000"/>
        </w:rPr>
        <w:t xml:space="preserve">przedsiębiorstwom zajmującym się produkcją podstawową produktów rolnych; </w:t>
      </w:r>
    </w:p>
    <w:p w:rsidR="003377B3" w:rsidRPr="003377B3" w:rsidRDefault="003377B3" w:rsidP="003377B3">
      <w:pPr>
        <w:pStyle w:val="CM4"/>
        <w:spacing w:line="360" w:lineRule="auto"/>
        <w:jc w:val="both"/>
        <w:rPr>
          <w:rFonts w:ascii="Times New Roman" w:hAnsi="Times New Roman" w:cs="Times New Roman"/>
          <w:color w:val="000000"/>
        </w:rPr>
      </w:pPr>
      <w:r w:rsidRPr="003377B3">
        <w:rPr>
          <w:rFonts w:ascii="Times New Roman" w:hAnsi="Times New Roman" w:cs="Times New Roman"/>
          <w:color w:val="000000"/>
        </w:rPr>
        <w:t>c) przyznawanej</w:t>
      </w:r>
      <w:r>
        <w:rPr>
          <w:rFonts w:ascii="Times New Roman" w:hAnsi="Times New Roman" w:cs="Times New Roman"/>
          <w:bCs/>
          <w:iCs/>
        </w:rPr>
        <w:t xml:space="preserve"> </w:t>
      </w:r>
      <w:r w:rsidRPr="003377B3">
        <w:rPr>
          <w:rFonts w:ascii="Times New Roman" w:hAnsi="Times New Roman" w:cs="Times New Roman"/>
          <w:color w:val="000000"/>
        </w:rPr>
        <w:t xml:space="preserve">przedsiębiorstwom prowadzącym działalność w sektorze przetwarzania i wprowadzania do obrotu produktów rolnych w następujących przypadkach: </w:t>
      </w:r>
    </w:p>
    <w:p w:rsidR="003377B3" w:rsidRPr="003377B3" w:rsidRDefault="003377B3" w:rsidP="003377B3">
      <w:pPr>
        <w:pStyle w:val="CM4"/>
        <w:spacing w:line="360" w:lineRule="auto"/>
        <w:jc w:val="both"/>
        <w:rPr>
          <w:rFonts w:ascii="Times New Roman" w:hAnsi="Times New Roman" w:cs="Times New Roman"/>
          <w:color w:val="000000"/>
        </w:rPr>
      </w:pPr>
      <w:r w:rsidRPr="003377B3">
        <w:rPr>
          <w:rFonts w:ascii="Times New Roman" w:hAnsi="Times New Roman" w:cs="Times New Roman"/>
          <w:color w:val="000000"/>
        </w:rPr>
        <w:t xml:space="preserve">(i) kiedy wysokość pomocy ustalana jest na podstawie ceny lub ilości takich produktów nabytych od producentów podstawowych lub wprowadzonych na rynek przez przedsiębiorstwa objęte pomocą; </w:t>
      </w:r>
    </w:p>
    <w:p w:rsidR="003377B3" w:rsidRPr="003377B3" w:rsidRDefault="003377B3" w:rsidP="003377B3">
      <w:pPr>
        <w:pStyle w:val="CM4"/>
        <w:spacing w:line="360" w:lineRule="auto"/>
        <w:jc w:val="both"/>
        <w:rPr>
          <w:rFonts w:ascii="Times New Roman" w:hAnsi="Times New Roman" w:cs="Times New Roman"/>
          <w:color w:val="000000"/>
        </w:rPr>
      </w:pPr>
      <w:r w:rsidRPr="003377B3">
        <w:rPr>
          <w:rFonts w:ascii="Times New Roman" w:hAnsi="Times New Roman" w:cs="Times New Roman"/>
          <w:color w:val="000000"/>
        </w:rPr>
        <w:t xml:space="preserve">(ii) kiedy przyznanie pomocy zależy od faktu przekazania jej w części lub w całości producentom podstawowym; </w:t>
      </w:r>
    </w:p>
    <w:p w:rsidR="003377B3" w:rsidRPr="003377B3" w:rsidRDefault="003377B3" w:rsidP="003377B3">
      <w:pPr>
        <w:pStyle w:val="CM4"/>
        <w:spacing w:line="360" w:lineRule="auto"/>
        <w:jc w:val="both"/>
        <w:rPr>
          <w:rFonts w:ascii="Times New Roman" w:hAnsi="Times New Roman" w:cs="Times New Roman"/>
          <w:color w:val="000000"/>
        </w:rPr>
      </w:pPr>
      <w:r w:rsidRPr="003377B3">
        <w:rPr>
          <w:rFonts w:ascii="Times New Roman" w:hAnsi="Times New Roman" w:cs="Times New Roman"/>
          <w:color w:val="000000"/>
        </w:rPr>
        <w:t>d) przyznawanej</w:t>
      </w:r>
      <w:r>
        <w:rPr>
          <w:rFonts w:ascii="Times New Roman" w:hAnsi="Times New Roman" w:cs="Times New Roman"/>
          <w:bCs/>
          <w:iCs/>
        </w:rPr>
        <w:t xml:space="preserve"> </w:t>
      </w:r>
      <w:r w:rsidRPr="003377B3">
        <w:rPr>
          <w:rFonts w:ascii="Times New Roman" w:hAnsi="Times New Roman" w:cs="Times New Roman"/>
          <w:color w:val="000000"/>
        </w:rPr>
        <w:t xml:space="preserve">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p w:rsidR="003377B3" w:rsidRDefault="003377B3" w:rsidP="003377B3">
      <w:pPr>
        <w:pStyle w:val="Default"/>
        <w:spacing w:line="360" w:lineRule="auto"/>
        <w:jc w:val="both"/>
        <w:rPr>
          <w:rFonts w:ascii="Times New Roman" w:hAnsi="Times New Roman" w:cs="Times New Roman"/>
        </w:rPr>
      </w:pPr>
      <w:r w:rsidRPr="003377B3">
        <w:rPr>
          <w:rFonts w:ascii="Times New Roman" w:hAnsi="Times New Roman" w:cs="Times New Roman"/>
        </w:rPr>
        <w:t>e) uwarunkowanej pierwszeństwem korzystania z towarów krajowych w stosunku do towarów sprowadzanych z zagranicy.</w:t>
      </w:r>
    </w:p>
    <w:p w:rsidR="00303CAF" w:rsidRDefault="002A1F62" w:rsidP="003377B3">
      <w:pPr>
        <w:pStyle w:val="Default"/>
        <w:spacing w:line="360" w:lineRule="auto"/>
        <w:jc w:val="both"/>
        <w:rPr>
          <w:rFonts w:ascii="Times New Roman" w:hAnsi="Times New Roman" w:cs="Times New Roman"/>
        </w:rPr>
      </w:pPr>
      <w:r>
        <w:rPr>
          <w:rFonts w:ascii="Times New Roman" w:hAnsi="Times New Roman" w:cs="Times New Roman"/>
        </w:rPr>
        <w:t>Okres trzech lat podatkowych ustala  się przez odniesienie do lat obrotowych stosowanych przez przedsiębiorstwa w danym państwie członkowskim.</w:t>
      </w:r>
    </w:p>
    <w:p w:rsidR="00303CAF" w:rsidRDefault="002B18D1" w:rsidP="0066765F">
      <w:pPr>
        <w:pStyle w:val="Default"/>
        <w:spacing w:after="240" w:line="360" w:lineRule="auto"/>
        <w:jc w:val="both"/>
        <w:rPr>
          <w:rFonts w:ascii="Times New Roman" w:hAnsi="Times New Roman" w:cs="Times New Roman"/>
        </w:rPr>
      </w:pPr>
      <w:r>
        <w:rPr>
          <w:rFonts w:ascii="Times New Roman" w:hAnsi="Times New Roman" w:cs="Times New Roman"/>
        </w:rPr>
        <w:t>Podany</w:t>
      </w:r>
      <w:r w:rsidR="00303CAF">
        <w:rPr>
          <w:rFonts w:ascii="Times New Roman" w:hAnsi="Times New Roman" w:cs="Times New Roman"/>
        </w:rPr>
        <w:t xml:space="preserve"> w rozporządzeniu</w:t>
      </w:r>
      <w:r>
        <w:rPr>
          <w:rFonts w:ascii="Times New Roman" w:hAnsi="Times New Roman" w:cs="Times New Roman"/>
        </w:rPr>
        <w:t xml:space="preserve"> limit pomocy publicznej de </w:t>
      </w:r>
      <w:proofErr w:type="spellStart"/>
      <w:r>
        <w:rPr>
          <w:rFonts w:ascii="Times New Roman" w:hAnsi="Times New Roman" w:cs="Times New Roman"/>
        </w:rPr>
        <w:t>nminimis</w:t>
      </w:r>
      <w:proofErr w:type="spellEnd"/>
      <w:r>
        <w:rPr>
          <w:rFonts w:ascii="Times New Roman" w:hAnsi="Times New Roman" w:cs="Times New Roman"/>
        </w:rPr>
        <w:t xml:space="preserve"> </w:t>
      </w:r>
      <w:r w:rsidR="00303CAF">
        <w:rPr>
          <w:rFonts w:ascii="Times New Roman" w:hAnsi="Times New Roman" w:cs="Times New Roman"/>
        </w:rPr>
        <w:t xml:space="preserve">(200.000 lub 100.000 euro) </w:t>
      </w:r>
      <w:r>
        <w:rPr>
          <w:rFonts w:ascii="Times New Roman" w:hAnsi="Times New Roman" w:cs="Times New Roman"/>
        </w:rPr>
        <w:t xml:space="preserve">odnosi się do </w:t>
      </w:r>
      <w:r w:rsidR="00303CAF">
        <w:rPr>
          <w:rFonts w:ascii="Times New Roman" w:hAnsi="Times New Roman" w:cs="Times New Roman"/>
        </w:rPr>
        <w:t xml:space="preserve">pomocy przyznanej przez państwo członkowskie </w:t>
      </w:r>
      <w:r w:rsidRPr="0066765F">
        <w:rPr>
          <w:rFonts w:ascii="Times New Roman" w:hAnsi="Times New Roman" w:cs="Times New Roman"/>
          <w:b/>
        </w:rPr>
        <w:t>jedne</w:t>
      </w:r>
      <w:r w:rsidR="00303CAF" w:rsidRPr="0066765F">
        <w:rPr>
          <w:rFonts w:ascii="Times New Roman" w:hAnsi="Times New Roman" w:cs="Times New Roman"/>
          <w:b/>
        </w:rPr>
        <w:t>mu przedsiębiorstwu</w:t>
      </w:r>
      <w:r w:rsidR="00303CAF">
        <w:rPr>
          <w:rFonts w:ascii="Times New Roman" w:hAnsi="Times New Roman" w:cs="Times New Roman"/>
        </w:rPr>
        <w:t xml:space="preserve">, </w:t>
      </w:r>
      <w:r w:rsidR="00303CAF">
        <w:rPr>
          <w:rFonts w:ascii="Times New Roman" w:hAnsi="Times New Roman" w:cs="Times New Roman"/>
        </w:rPr>
        <w:lastRenderedPageBreak/>
        <w:t>ale to „jedno przedsiębiorstwo” jest rozumiane szeroko i obejmuje wszystkie jednostki gospodarcze, które są ze sobą powiązane co najmniej jednym z następujących stosunków:</w:t>
      </w:r>
    </w:p>
    <w:p w:rsidR="00303CAF" w:rsidRDefault="00303CAF" w:rsidP="003377B3">
      <w:pPr>
        <w:pStyle w:val="Default"/>
        <w:spacing w:line="360" w:lineRule="auto"/>
        <w:jc w:val="both"/>
        <w:rPr>
          <w:rFonts w:ascii="Times New Roman" w:hAnsi="Times New Roman" w:cs="Times New Roman"/>
        </w:rPr>
      </w:pPr>
      <w:r>
        <w:rPr>
          <w:rFonts w:ascii="Times New Roman" w:hAnsi="Times New Roman" w:cs="Times New Roman"/>
        </w:rPr>
        <w:t>a) jeden podmiot gospodarczy posiada w drugim większość praw głosu akcjonariuszy, wspólników lub członków;</w:t>
      </w:r>
    </w:p>
    <w:p w:rsidR="002B18D1" w:rsidRDefault="00303CAF" w:rsidP="003377B3">
      <w:pPr>
        <w:pStyle w:val="Default"/>
        <w:spacing w:line="360" w:lineRule="auto"/>
        <w:jc w:val="both"/>
        <w:rPr>
          <w:rFonts w:ascii="Times New Roman" w:hAnsi="Times New Roman" w:cs="Times New Roman"/>
        </w:rPr>
      </w:pPr>
      <w:r>
        <w:rPr>
          <w:rFonts w:ascii="Times New Roman" w:hAnsi="Times New Roman" w:cs="Times New Roman"/>
        </w:rPr>
        <w:t>b) jeden podmiot gospodarczy ma prawo wyznaczyć lub  odwołać  większość członków organu zarządzającego lub nadzorczego innego podmiotu gospodarczego;</w:t>
      </w:r>
    </w:p>
    <w:p w:rsidR="00303CAF" w:rsidRDefault="00303CAF" w:rsidP="003377B3">
      <w:pPr>
        <w:pStyle w:val="Default"/>
        <w:spacing w:line="360" w:lineRule="auto"/>
        <w:jc w:val="both"/>
        <w:rPr>
          <w:rFonts w:ascii="Times New Roman" w:hAnsi="Times New Roman" w:cs="Times New Roman"/>
        </w:rPr>
      </w:pPr>
      <w:r>
        <w:rPr>
          <w:rFonts w:ascii="Times New Roman" w:hAnsi="Times New Roman" w:cs="Times New Roman"/>
        </w:rPr>
        <w:t>c) jeden podmiot gospodarczy – akcjonariusz lub wspólnik w innym podmiocie gospodarczym – samodzielnie lub w porozumieniu z innymi akcjonariusz</w:t>
      </w:r>
      <w:r w:rsidR="00AB4E68">
        <w:rPr>
          <w:rFonts w:ascii="Times New Roman" w:hAnsi="Times New Roman" w:cs="Times New Roman"/>
        </w:rPr>
        <w:t>a</w:t>
      </w:r>
      <w:r>
        <w:rPr>
          <w:rFonts w:ascii="Times New Roman" w:hAnsi="Times New Roman" w:cs="Times New Roman"/>
        </w:rPr>
        <w:t>mi lub wspólnikami kon</w:t>
      </w:r>
      <w:r w:rsidR="00AB4E68">
        <w:rPr>
          <w:rFonts w:ascii="Times New Roman" w:hAnsi="Times New Roman" w:cs="Times New Roman"/>
        </w:rPr>
        <w:t xml:space="preserve">troluje większość praw głosu akcjonariuszy lub wspólników tego podmiotu; </w:t>
      </w:r>
    </w:p>
    <w:p w:rsidR="00AB4E68" w:rsidRDefault="00AB4E68" w:rsidP="003377B3">
      <w:pPr>
        <w:pStyle w:val="Default"/>
        <w:spacing w:line="360" w:lineRule="auto"/>
        <w:jc w:val="both"/>
        <w:rPr>
          <w:rFonts w:ascii="Times New Roman" w:hAnsi="Times New Roman" w:cs="Times New Roman"/>
        </w:rPr>
      </w:pPr>
      <w:r>
        <w:rPr>
          <w:rFonts w:ascii="Times New Roman" w:hAnsi="Times New Roman" w:cs="Times New Roman"/>
        </w:rPr>
        <w:t>d) jeden podmiot gospodarczy ma prawo wywierać dominujący wpływ na inny podmiot gospodarczy zgodnie z umową zawartą z tym podmiotem lub postanowieniami w jej akcie założycielskim lub umowie spółki.</w:t>
      </w:r>
    </w:p>
    <w:p w:rsidR="00815611" w:rsidRDefault="0066765F" w:rsidP="003377B3">
      <w:pPr>
        <w:pStyle w:val="Default"/>
        <w:spacing w:line="360" w:lineRule="auto"/>
        <w:jc w:val="both"/>
        <w:rPr>
          <w:rFonts w:ascii="Times New Roman" w:hAnsi="Times New Roman" w:cs="Times New Roman"/>
        </w:rPr>
      </w:pPr>
      <w:r>
        <w:rPr>
          <w:rFonts w:ascii="Times New Roman" w:hAnsi="Times New Roman" w:cs="Times New Roman"/>
        </w:rPr>
        <w:t xml:space="preserve">Pomoc de </w:t>
      </w:r>
      <w:proofErr w:type="spellStart"/>
      <w:r>
        <w:rPr>
          <w:rFonts w:ascii="Times New Roman" w:hAnsi="Times New Roman" w:cs="Times New Roman"/>
        </w:rPr>
        <w:t>minimis</w:t>
      </w:r>
      <w:proofErr w:type="spellEnd"/>
      <w:r>
        <w:rPr>
          <w:rFonts w:ascii="Times New Roman" w:hAnsi="Times New Roman" w:cs="Times New Roman"/>
        </w:rPr>
        <w:t xml:space="preserve"> ma być przejrzysta.</w:t>
      </w:r>
    </w:p>
    <w:p w:rsidR="0066765F" w:rsidRDefault="0066765F" w:rsidP="003377B3">
      <w:pPr>
        <w:pStyle w:val="Default"/>
        <w:spacing w:line="360" w:lineRule="auto"/>
        <w:jc w:val="both"/>
        <w:rPr>
          <w:rFonts w:ascii="Times New Roman" w:hAnsi="Times New Roman" w:cs="Times New Roman"/>
        </w:rPr>
      </w:pPr>
    </w:p>
    <w:p w:rsidR="00815611" w:rsidRDefault="00815611" w:rsidP="003377B3">
      <w:pPr>
        <w:pStyle w:val="Default"/>
        <w:spacing w:line="360" w:lineRule="auto"/>
        <w:jc w:val="both"/>
        <w:rPr>
          <w:rFonts w:ascii="Times New Roman" w:hAnsi="Times New Roman" w:cs="Times New Roman"/>
          <w:b/>
        </w:rPr>
      </w:pPr>
      <w:r w:rsidRPr="00815611">
        <w:rPr>
          <w:rFonts w:ascii="Times New Roman" w:hAnsi="Times New Roman" w:cs="Times New Roman"/>
          <w:b/>
        </w:rPr>
        <w:t>Przykład obliczania ekwiwalentu dotacji brutto</w:t>
      </w:r>
    </w:p>
    <w:p w:rsidR="00815611" w:rsidRDefault="00815611" w:rsidP="00815611">
      <w:pPr>
        <w:pStyle w:val="Default"/>
        <w:spacing w:line="360" w:lineRule="auto"/>
        <w:jc w:val="both"/>
        <w:rPr>
          <w:rFonts w:ascii="Times New Roman" w:hAnsi="Times New Roman" w:cs="Times New Roman"/>
        </w:rPr>
      </w:pPr>
    </w:p>
    <w:p w:rsidR="0066765F" w:rsidRDefault="00815611" w:rsidP="00815611">
      <w:pPr>
        <w:pStyle w:val="Default"/>
        <w:spacing w:line="360" w:lineRule="auto"/>
        <w:jc w:val="both"/>
        <w:rPr>
          <w:rFonts w:ascii="Times New Roman" w:hAnsi="Times New Roman" w:cs="Times New Roman"/>
        </w:rPr>
      </w:pPr>
      <w:r>
        <w:rPr>
          <w:rFonts w:ascii="Times New Roman" w:hAnsi="Times New Roman" w:cs="Times New Roman"/>
        </w:rPr>
        <w:t xml:space="preserve">Ekwiwalent dotacji brutto dla pomocy w formie gwarancji uzależniony jest od kwoty gwarantowanej i od czasu trwania gwarancji. Pomoc uznaje się za przejrzystą pomoc de </w:t>
      </w:r>
      <w:proofErr w:type="spellStart"/>
      <w:r>
        <w:rPr>
          <w:rFonts w:ascii="Times New Roman" w:hAnsi="Times New Roman" w:cs="Times New Roman"/>
        </w:rPr>
        <w:t>minimis</w:t>
      </w:r>
      <w:proofErr w:type="spellEnd"/>
      <w:r w:rsidR="0066765F">
        <w:rPr>
          <w:rFonts w:ascii="Times New Roman" w:hAnsi="Times New Roman" w:cs="Times New Roman"/>
        </w:rPr>
        <w:t>:</w:t>
      </w:r>
    </w:p>
    <w:p w:rsidR="0066765F" w:rsidRDefault="0066765F" w:rsidP="00815611">
      <w:pPr>
        <w:pStyle w:val="Default"/>
        <w:spacing w:line="360" w:lineRule="auto"/>
        <w:jc w:val="both"/>
        <w:rPr>
          <w:rFonts w:ascii="Times New Roman" w:hAnsi="Times New Roman" w:cs="Times New Roman"/>
        </w:rPr>
      </w:pPr>
      <w:r>
        <w:rPr>
          <w:rFonts w:ascii="Times New Roman" w:hAnsi="Times New Roman" w:cs="Times New Roman"/>
        </w:rPr>
        <w:t>a)</w:t>
      </w:r>
      <w:r w:rsidR="00815611">
        <w:rPr>
          <w:rFonts w:ascii="Times New Roman" w:hAnsi="Times New Roman" w:cs="Times New Roman"/>
        </w:rPr>
        <w:t xml:space="preserve"> jeżeli </w:t>
      </w:r>
      <w:r w:rsidR="00815611" w:rsidRPr="00815611">
        <w:rPr>
          <w:rFonts w:ascii="Times New Roman" w:hAnsi="Times New Roman" w:cs="Times New Roman"/>
        </w:rPr>
        <w:t xml:space="preserve">gwarancja nie przekracza 80 % wartości pożyczki bazowej oraz gwarantowana kwota wynosi 1 500 000 </w:t>
      </w:r>
      <w:r w:rsidR="00815611">
        <w:rPr>
          <w:rFonts w:ascii="Times New Roman" w:hAnsi="Times New Roman" w:cs="Times New Roman"/>
        </w:rPr>
        <w:t>euro</w:t>
      </w:r>
      <w:r w:rsidR="00815611" w:rsidRPr="00815611">
        <w:rPr>
          <w:rFonts w:ascii="Times New Roman" w:hAnsi="Times New Roman" w:cs="Times New Roman"/>
        </w:rPr>
        <w:t xml:space="preserve"> (lub, w przypadku przedsiębiorstw zajmujących się transportem drogowym towarów, 750 000 </w:t>
      </w:r>
      <w:r w:rsidR="00815611">
        <w:rPr>
          <w:rFonts w:ascii="Times New Roman" w:hAnsi="Times New Roman" w:cs="Times New Roman"/>
        </w:rPr>
        <w:t>euro</w:t>
      </w:r>
      <w:r w:rsidR="00815611" w:rsidRPr="00815611">
        <w:rPr>
          <w:rFonts w:ascii="Times New Roman" w:hAnsi="Times New Roman" w:cs="Times New Roman"/>
        </w:rPr>
        <w:t>) i czas trwania gwarancji wynosi pięć lat, albo</w:t>
      </w:r>
    </w:p>
    <w:p w:rsidR="0066765F" w:rsidRDefault="0066765F" w:rsidP="00815611">
      <w:pPr>
        <w:pStyle w:val="Default"/>
        <w:spacing w:line="360" w:lineRule="auto"/>
        <w:jc w:val="both"/>
        <w:rPr>
          <w:rFonts w:ascii="Times New Roman" w:hAnsi="Times New Roman" w:cs="Times New Roman"/>
        </w:rPr>
      </w:pPr>
      <w:r>
        <w:rPr>
          <w:rFonts w:ascii="Times New Roman" w:hAnsi="Times New Roman" w:cs="Times New Roman"/>
        </w:rPr>
        <w:t>b)</w:t>
      </w:r>
      <w:r w:rsidR="00815611" w:rsidRPr="00815611">
        <w:rPr>
          <w:rFonts w:ascii="Times New Roman" w:hAnsi="Times New Roman" w:cs="Times New Roman"/>
        </w:rPr>
        <w:t xml:space="preserve"> gwarantowana kwota wynosi 750 000 </w:t>
      </w:r>
      <w:r w:rsidR="00815611">
        <w:rPr>
          <w:rFonts w:ascii="Times New Roman" w:hAnsi="Times New Roman" w:cs="Times New Roman"/>
        </w:rPr>
        <w:t xml:space="preserve">euro </w:t>
      </w:r>
      <w:r w:rsidR="00815611" w:rsidRPr="00815611">
        <w:rPr>
          <w:rFonts w:ascii="Times New Roman" w:hAnsi="Times New Roman" w:cs="Times New Roman"/>
        </w:rPr>
        <w:t xml:space="preserve">(lub, w przypadku przedsiębiorstw zajmujących się transportem drogowym towarów, 375 000 </w:t>
      </w:r>
      <w:r w:rsidR="00815611">
        <w:rPr>
          <w:rFonts w:ascii="Times New Roman" w:hAnsi="Times New Roman" w:cs="Times New Roman"/>
        </w:rPr>
        <w:t>euro</w:t>
      </w:r>
      <w:r w:rsidR="00815611" w:rsidRPr="00815611">
        <w:rPr>
          <w:rFonts w:ascii="Times New Roman" w:hAnsi="Times New Roman" w:cs="Times New Roman"/>
        </w:rPr>
        <w:t>) i czas trwania gwarancji wynosi dziesięć lat</w:t>
      </w:r>
      <w:r w:rsidR="00815611">
        <w:rPr>
          <w:rFonts w:ascii="Times New Roman" w:hAnsi="Times New Roman" w:cs="Times New Roman"/>
        </w:rPr>
        <w:t xml:space="preserve">. </w:t>
      </w:r>
    </w:p>
    <w:p w:rsidR="00815611" w:rsidRDefault="0066765F" w:rsidP="00815611">
      <w:pPr>
        <w:pStyle w:val="Default"/>
        <w:spacing w:line="360" w:lineRule="auto"/>
        <w:jc w:val="both"/>
        <w:rPr>
          <w:rFonts w:ascii="Times New Roman" w:hAnsi="Times New Roman" w:cs="Times New Roman"/>
        </w:rPr>
      </w:pPr>
      <w:r>
        <w:rPr>
          <w:rFonts w:ascii="Times New Roman" w:hAnsi="Times New Roman" w:cs="Times New Roman"/>
        </w:rPr>
        <w:t>c) j</w:t>
      </w:r>
      <w:r w:rsidR="00815611">
        <w:rPr>
          <w:rFonts w:ascii="Times New Roman" w:hAnsi="Times New Roman" w:cs="Times New Roman"/>
        </w:rPr>
        <w:t>eśli</w:t>
      </w:r>
      <w:r w:rsidR="00815611" w:rsidRPr="00815611">
        <w:rPr>
          <w:rFonts w:ascii="Times New Roman" w:hAnsi="Times New Roman" w:cs="Times New Roman"/>
        </w:rPr>
        <w:t xml:space="preserve"> gwarantowana kwota jest niższa niż te kwoty lub gwarancji udzielono na okres krótszy niż odpowiednio pięć albo dziesięć lat, ekwiwalent dotacji brutto gwarancji oblicza się jako odpowiedni odsetek pułapu </w:t>
      </w:r>
      <w:r>
        <w:rPr>
          <w:rFonts w:ascii="Times New Roman" w:hAnsi="Times New Roman" w:cs="Times New Roman"/>
        </w:rPr>
        <w:t xml:space="preserve">pomocy de </w:t>
      </w:r>
      <w:proofErr w:type="spellStart"/>
      <w:r>
        <w:rPr>
          <w:rFonts w:ascii="Times New Roman" w:hAnsi="Times New Roman" w:cs="Times New Roman"/>
        </w:rPr>
        <w:t>minimis</w:t>
      </w:r>
      <w:proofErr w:type="spellEnd"/>
      <w:r>
        <w:rPr>
          <w:rFonts w:ascii="Times New Roman" w:hAnsi="Times New Roman" w:cs="Times New Roman"/>
        </w:rPr>
        <w:t>.</w:t>
      </w:r>
    </w:p>
    <w:p w:rsidR="00CB06A0" w:rsidRDefault="00CB06A0" w:rsidP="00815611">
      <w:pPr>
        <w:pStyle w:val="Default"/>
        <w:spacing w:line="360" w:lineRule="auto"/>
        <w:jc w:val="both"/>
        <w:rPr>
          <w:rFonts w:ascii="Times New Roman" w:hAnsi="Times New Roman" w:cs="Times New Roman"/>
        </w:rPr>
      </w:pPr>
    </w:p>
    <w:p w:rsidR="0066765F" w:rsidRDefault="0066765F" w:rsidP="00815611">
      <w:pPr>
        <w:pStyle w:val="Default"/>
        <w:spacing w:line="360" w:lineRule="auto"/>
        <w:jc w:val="both"/>
        <w:rPr>
          <w:rFonts w:ascii="Times New Roman" w:hAnsi="Times New Roman" w:cs="Times New Roman"/>
        </w:rPr>
      </w:pPr>
      <w:r>
        <w:rPr>
          <w:rFonts w:ascii="Times New Roman" w:hAnsi="Times New Roman" w:cs="Times New Roman"/>
        </w:rPr>
        <w:t xml:space="preserve">Może zdarzyć się przypadek, że już po przyznaniu pomocy czas trwania gwarancji ulegnie zmianie, zwykle jest on przedłużany. Należy wtedy ponownie obliczyć ekwiwalent dotacji brutto dla dodatkowo udzielonej pomocy. Na przykład przedłużono czas trwania gwarancji z dwóch do pięciu lat dla maksymalnej gwarantowanej kwoty to ekwiwalent dotacji brutto </w:t>
      </w:r>
      <w:r>
        <w:rPr>
          <w:rFonts w:ascii="Times New Roman" w:hAnsi="Times New Roman" w:cs="Times New Roman"/>
        </w:rPr>
        <w:lastRenderedPageBreak/>
        <w:t>zmieni się z 80.000 euro  na 200.000 euro</w:t>
      </w:r>
      <w:r w:rsidR="00CB06A0">
        <w:rPr>
          <w:rFonts w:ascii="Times New Roman" w:hAnsi="Times New Roman" w:cs="Times New Roman"/>
        </w:rPr>
        <w:t xml:space="preserve">. Konieczne jest wydanie zaświadczenia dla dodatkowo udzielonej pomocy i </w:t>
      </w:r>
      <w:proofErr w:type="spellStart"/>
      <w:r w:rsidR="00CB06A0">
        <w:rPr>
          <w:rFonts w:ascii="Times New Roman" w:hAnsi="Times New Roman" w:cs="Times New Roman"/>
        </w:rPr>
        <w:t>dokonaie</w:t>
      </w:r>
      <w:proofErr w:type="spellEnd"/>
      <w:r w:rsidR="00CB06A0">
        <w:rPr>
          <w:rFonts w:ascii="Times New Roman" w:hAnsi="Times New Roman" w:cs="Times New Roman"/>
        </w:rPr>
        <w:t xml:space="preserve"> wpisu do rejestru pomocy. </w:t>
      </w:r>
    </w:p>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Przykład ustalenia ekwiwalentu dotacji brutto dla przypadku określonego w punkcie c</w:t>
      </w:r>
    </w:p>
    <w:tbl>
      <w:tblPr>
        <w:tblStyle w:val="Tabela-Siatka"/>
        <w:tblW w:w="0" w:type="auto"/>
        <w:tblLook w:val="04A0"/>
      </w:tblPr>
      <w:tblGrid>
        <w:gridCol w:w="2549"/>
        <w:gridCol w:w="3562"/>
        <w:gridCol w:w="2709"/>
      </w:tblGrid>
      <w:tr w:rsidR="00CB06A0" w:rsidTr="00CB06A0">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Czas trwanie ( w latach)</w:t>
            </w:r>
          </w:p>
        </w:tc>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Maksymalna gwarantowana kwota</w:t>
            </w:r>
          </w:p>
        </w:tc>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Ekwiwalent dotacji brutto</w:t>
            </w:r>
          </w:p>
        </w:tc>
      </w:tr>
      <w:tr w:rsidR="00CB06A0" w:rsidTr="00CB06A0">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1</w:t>
            </w:r>
          </w:p>
        </w:tc>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1.500.000</w:t>
            </w:r>
          </w:p>
        </w:tc>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40.000</w:t>
            </w:r>
          </w:p>
        </w:tc>
      </w:tr>
      <w:tr w:rsidR="00CB06A0" w:rsidTr="00CB06A0">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2</w:t>
            </w:r>
          </w:p>
        </w:tc>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1.500.000</w:t>
            </w:r>
          </w:p>
        </w:tc>
        <w:tc>
          <w:tcPr>
            <w:tcW w:w="0" w:type="auto"/>
          </w:tcPr>
          <w:p w:rsidR="00CB06A0" w:rsidRDefault="00445ADF" w:rsidP="00815611">
            <w:pPr>
              <w:pStyle w:val="Default"/>
              <w:spacing w:line="360" w:lineRule="auto"/>
              <w:jc w:val="both"/>
              <w:rPr>
                <w:rFonts w:ascii="Times New Roman" w:hAnsi="Times New Roman" w:cs="Times New Roman"/>
              </w:rPr>
            </w:pPr>
            <w:r>
              <w:rPr>
                <w:rFonts w:ascii="Times New Roman" w:hAnsi="Times New Roman" w:cs="Times New Roman"/>
              </w:rPr>
              <w:t xml:space="preserve">                 80.000</w:t>
            </w:r>
          </w:p>
        </w:tc>
      </w:tr>
      <w:tr w:rsidR="00CB06A0" w:rsidTr="00CB06A0">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3</w:t>
            </w:r>
          </w:p>
        </w:tc>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1.500.000</w:t>
            </w:r>
          </w:p>
        </w:tc>
        <w:tc>
          <w:tcPr>
            <w:tcW w:w="0" w:type="auto"/>
          </w:tcPr>
          <w:p w:rsidR="00CB06A0" w:rsidRDefault="00445ADF" w:rsidP="00445ADF">
            <w:pPr>
              <w:pStyle w:val="Default"/>
              <w:spacing w:line="360" w:lineRule="auto"/>
              <w:jc w:val="both"/>
              <w:rPr>
                <w:rFonts w:ascii="Times New Roman" w:hAnsi="Times New Roman" w:cs="Times New Roman"/>
              </w:rPr>
            </w:pPr>
            <w:r>
              <w:rPr>
                <w:rFonts w:ascii="Times New Roman" w:hAnsi="Times New Roman" w:cs="Times New Roman"/>
              </w:rPr>
              <w:t xml:space="preserve">                120.000</w:t>
            </w:r>
          </w:p>
        </w:tc>
      </w:tr>
      <w:tr w:rsidR="00CB06A0" w:rsidTr="00CB06A0">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4</w:t>
            </w:r>
          </w:p>
        </w:tc>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1.500.000</w:t>
            </w:r>
          </w:p>
        </w:tc>
        <w:tc>
          <w:tcPr>
            <w:tcW w:w="0" w:type="auto"/>
          </w:tcPr>
          <w:p w:rsidR="00CB06A0" w:rsidRDefault="00445ADF" w:rsidP="00815611">
            <w:pPr>
              <w:pStyle w:val="Default"/>
              <w:spacing w:line="360" w:lineRule="auto"/>
              <w:jc w:val="both"/>
              <w:rPr>
                <w:rFonts w:ascii="Times New Roman" w:hAnsi="Times New Roman" w:cs="Times New Roman"/>
              </w:rPr>
            </w:pPr>
            <w:r>
              <w:rPr>
                <w:rFonts w:ascii="Times New Roman" w:hAnsi="Times New Roman" w:cs="Times New Roman"/>
              </w:rPr>
              <w:t xml:space="preserve">                160.000</w:t>
            </w:r>
          </w:p>
        </w:tc>
      </w:tr>
      <w:tr w:rsidR="00CB06A0" w:rsidTr="00CB06A0">
        <w:tc>
          <w:tcPr>
            <w:tcW w:w="0" w:type="auto"/>
          </w:tcPr>
          <w:p w:rsidR="00CB06A0" w:rsidRPr="00957A3D" w:rsidRDefault="00CB06A0" w:rsidP="00815611">
            <w:pPr>
              <w:pStyle w:val="Default"/>
              <w:spacing w:line="360" w:lineRule="auto"/>
              <w:jc w:val="both"/>
              <w:rPr>
                <w:rFonts w:ascii="Times New Roman" w:hAnsi="Times New Roman" w:cs="Times New Roman"/>
                <w:b/>
              </w:rPr>
            </w:pPr>
            <w:r>
              <w:rPr>
                <w:rFonts w:ascii="Times New Roman" w:hAnsi="Times New Roman" w:cs="Times New Roman"/>
              </w:rPr>
              <w:t xml:space="preserve">                 </w:t>
            </w:r>
            <w:r w:rsidRPr="00957A3D">
              <w:rPr>
                <w:rFonts w:ascii="Times New Roman" w:hAnsi="Times New Roman" w:cs="Times New Roman"/>
                <w:b/>
              </w:rPr>
              <w:t>5</w:t>
            </w:r>
          </w:p>
        </w:tc>
        <w:tc>
          <w:tcPr>
            <w:tcW w:w="0" w:type="auto"/>
          </w:tcPr>
          <w:p w:rsidR="00CB06A0" w:rsidRPr="00957A3D" w:rsidRDefault="00CB06A0" w:rsidP="00815611">
            <w:pPr>
              <w:pStyle w:val="Default"/>
              <w:spacing w:line="360" w:lineRule="auto"/>
              <w:jc w:val="both"/>
              <w:rPr>
                <w:rFonts w:ascii="Times New Roman" w:hAnsi="Times New Roman" w:cs="Times New Roman"/>
                <w:b/>
              </w:rPr>
            </w:pPr>
            <w:r>
              <w:rPr>
                <w:rFonts w:ascii="Times New Roman" w:hAnsi="Times New Roman" w:cs="Times New Roman"/>
              </w:rPr>
              <w:t xml:space="preserve">                 </w:t>
            </w:r>
            <w:r w:rsidRPr="00957A3D">
              <w:rPr>
                <w:rFonts w:ascii="Times New Roman" w:hAnsi="Times New Roman" w:cs="Times New Roman"/>
                <w:b/>
              </w:rPr>
              <w:t>1.500.000</w:t>
            </w:r>
          </w:p>
        </w:tc>
        <w:tc>
          <w:tcPr>
            <w:tcW w:w="0" w:type="auto"/>
          </w:tcPr>
          <w:p w:rsidR="00CB06A0" w:rsidRPr="00957A3D" w:rsidRDefault="00445ADF" w:rsidP="00815611">
            <w:pPr>
              <w:pStyle w:val="Default"/>
              <w:spacing w:line="360" w:lineRule="auto"/>
              <w:jc w:val="both"/>
              <w:rPr>
                <w:rFonts w:ascii="Times New Roman" w:hAnsi="Times New Roman" w:cs="Times New Roman"/>
                <w:b/>
              </w:rPr>
            </w:pPr>
            <w:r>
              <w:rPr>
                <w:rFonts w:ascii="Times New Roman" w:hAnsi="Times New Roman" w:cs="Times New Roman"/>
              </w:rPr>
              <w:t xml:space="preserve">                 </w:t>
            </w:r>
            <w:r w:rsidRPr="00957A3D">
              <w:rPr>
                <w:rFonts w:ascii="Times New Roman" w:hAnsi="Times New Roman" w:cs="Times New Roman"/>
                <w:b/>
              </w:rPr>
              <w:t>200.000</w:t>
            </w:r>
          </w:p>
        </w:tc>
      </w:tr>
      <w:tr w:rsidR="00CB06A0" w:rsidTr="00CB06A0">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6</w:t>
            </w:r>
          </w:p>
        </w:tc>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1.250.000</w:t>
            </w:r>
          </w:p>
        </w:tc>
        <w:tc>
          <w:tcPr>
            <w:tcW w:w="0" w:type="auto"/>
          </w:tcPr>
          <w:p w:rsidR="00CB06A0" w:rsidRDefault="00445ADF" w:rsidP="00815611">
            <w:pPr>
              <w:pStyle w:val="Default"/>
              <w:spacing w:line="360" w:lineRule="auto"/>
              <w:jc w:val="both"/>
              <w:rPr>
                <w:rFonts w:ascii="Times New Roman" w:hAnsi="Times New Roman" w:cs="Times New Roman"/>
              </w:rPr>
            </w:pPr>
            <w:r>
              <w:rPr>
                <w:rFonts w:ascii="Times New Roman" w:hAnsi="Times New Roman" w:cs="Times New Roman"/>
              </w:rPr>
              <w:t xml:space="preserve">                 200.000</w:t>
            </w:r>
          </w:p>
        </w:tc>
      </w:tr>
      <w:tr w:rsidR="00CB06A0" w:rsidTr="00CB06A0">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7</w:t>
            </w:r>
          </w:p>
        </w:tc>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1.071429</w:t>
            </w:r>
          </w:p>
        </w:tc>
        <w:tc>
          <w:tcPr>
            <w:tcW w:w="0" w:type="auto"/>
          </w:tcPr>
          <w:p w:rsidR="00CB06A0" w:rsidRDefault="00445ADF" w:rsidP="00815611">
            <w:pPr>
              <w:pStyle w:val="Default"/>
              <w:spacing w:line="360" w:lineRule="auto"/>
              <w:jc w:val="both"/>
              <w:rPr>
                <w:rFonts w:ascii="Times New Roman" w:hAnsi="Times New Roman" w:cs="Times New Roman"/>
              </w:rPr>
            </w:pPr>
            <w:r>
              <w:rPr>
                <w:rFonts w:ascii="Times New Roman" w:hAnsi="Times New Roman" w:cs="Times New Roman"/>
              </w:rPr>
              <w:t xml:space="preserve">                 200.000</w:t>
            </w:r>
          </w:p>
        </w:tc>
      </w:tr>
      <w:tr w:rsidR="00CB06A0" w:rsidTr="00CB06A0">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8</w:t>
            </w:r>
          </w:p>
        </w:tc>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937.500</w:t>
            </w:r>
          </w:p>
        </w:tc>
        <w:tc>
          <w:tcPr>
            <w:tcW w:w="0" w:type="auto"/>
          </w:tcPr>
          <w:p w:rsidR="00CB06A0" w:rsidRDefault="00445ADF" w:rsidP="00815611">
            <w:pPr>
              <w:pStyle w:val="Default"/>
              <w:spacing w:line="360" w:lineRule="auto"/>
              <w:jc w:val="both"/>
              <w:rPr>
                <w:rFonts w:ascii="Times New Roman" w:hAnsi="Times New Roman" w:cs="Times New Roman"/>
              </w:rPr>
            </w:pPr>
            <w:r>
              <w:rPr>
                <w:rFonts w:ascii="Times New Roman" w:hAnsi="Times New Roman" w:cs="Times New Roman"/>
              </w:rPr>
              <w:t xml:space="preserve">                 2000.000</w:t>
            </w:r>
          </w:p>
        </w:tc>
      </w:tr>
      <w:tr w:rsidR="00CB06A0" w:rsidTr="00CB06A0">
        <w:tc>
          <w:tcPr>
            <w:tcW w:w="0" w:type="auto"/>
          </w:tcPr>
          <w:p w:rsidR="00CB06A0" w:rsidRDefault="00CB06A0" w:rsidP="00815611">
            <w:pPr>
              <w:pStyle w:val="Default"/>
              <w:spacing w:line="360" w:lineRule="auto"/>
              <w:jc w:val="both"/>
              <w:rPr>
                <w:rFonts w:ascii="Times New Roman" w:hAnsi="Times New Roman" w:cs="Times New Roman"/>
              </w:rPr>
            </w:pPr>
            <w:r>
              <w:rPr>
                <w:rFonts w:ascii="Times New Roman" w:hAnsi="Times New Roman" w:cs="Times New Roman"/>
              </w:rPr>
              <w:t xml:space="preserve">                 9</w:t>
            </w:r>
          </w:p>
        </w:tc>
        <w:tc>
          <w:tcPr>
            <w:tcW w:w="0" w:type="auto"/>
          </w:tcPr>
          <w:p w:rsidR="00CB06A0" w:rsidRDefault="00CB06A0" w:rsidP="00CB06A0">
            <w:pPr>
              <w:pStyle w:val="Default"/>
              <w:spacing w:line="360" w:lineRule="auto"/>
              <w:jc w:val="both"/>
              <w:rPr>
                <w:rFonts w:ascii="Times New Roman" w:hAnsi="Times New Roman" w:cs="Times New Roman"/>
              </w:rPr>
            </w:pPr>
            <w:r>
              <w:rPr>
                <w:rFonts w:ascii="Times New Roman" w:hAnsi="Times New Roman" w:cs="Times New Roman"/>
              </w:rPr>
              <w:t xml:space="preserve">                  833.333</w:t>
            </w:r>
          </w:p>
        </w:tc>
        <w:tc>
          <w:tcPr>
            <w:tcW w:w="0" w:type="auto"/>
          </w:tcPr>
          <w:p w:rsidR="00CB06A0" w:rsidRDefault="00445ADF" w:rsidP="00815611">
            <w:pPr>
              <w:pStyle w:val="Default"/>
              <w:spacing w:line="360" w:lineRule="auto"/>
              <w:jc w:val="both"/>
              <w:rPr>
                <w:rFonts w:ascii="Times New Roman" w:hAnsi="Times New Roman" w:cs="Times New Roman"/>
              </w:rPr>
            </w:pPr>
            <w:r>
              <w:rPr>
                <w:rFonts w:ascii="Times New Roman" w:hAnsi="Times New Roman" w:cs="Times New Roman"/>
              </w:rPr>
              <w:t xml:space="preserve">                 200.000</w:t>
            </w:r>
          </w:p>
        </w:tc>
      </w:tr>
      <w:tr w:rsidR="00CB06A0" w:rsidTr="00CB06A0">
        <w:tc>
          <w:tcPr>
            <w:tcW w:w="0" w:type="auto"/>
          </w:tcPr>
          <w:p w:rsidR="00CB06A0" w:rsidRPr="00957A3D" w:rsidRDefault="00CB06A0" w:rsidP="00CB06A0">
            <w:pPr>
              <w:pStyle w:val="Default"/>
              <w:spacing w:line="360" w:lineRule="auto"/>
              <w:jc w:val="both"/>
              <w:rPr>
                <w:rFonts w:ascii="Times New Roman" w:hAnsi="Times New Roman" w:cs="Times New Roman"/>
                <w:b/>
              </w:rPr>
            </w:pPr>
            <w:r>
              <w:rPr>
                <w:rFonts w:ascii="Times New Roman" w:hAnsi="Times New Roman" w:cs="Times New Roman"/>
              </w:rPr>
              <w:t xml:space="preserve">               </w:t>
            </w:r>
            <w:r w:rsidRPr="00957A3D">
              <w:rPr>
                <w:rFonts w:ascii="Times New Roman" w:hAnsi="Times New Roman" w:cs="Times New Roman"/>
                <w:b/>
              </w:rPr>
              <w:t>10</w:t>
            </w:r>
          </w:p>
        </w:tc>
        <w:tc>
          <w:tcPr>
            <w:tcW w:w="0" w:type="auto"/>
          </w:tcPr>
          <w:p w:rsidR="00CB06A0" w:rsidRPr="00957A3D" w:rsidRDefault="00CB06A0" w:rsidP="00815611">
            <w:pPr>
              <w:pStyle w:val="Default"/>
              <w:spacing w:line="360" w:lineRule="auto"/>
              <w:jc w:val="both"/>
              <w:rPr>
                <w:rFonts w:ascii="Times New Roman" w:hAnsi="Times New Roman" w:cs="Times New Roman"/>
                <w:b/>
              </w:rPr>
            </w:pPr>
            <w:r>
              <w:rPr>
                <w:rFonts w:ascii="Times New Roman" w:hAnsi="Times New Roman" w:cs="Times New Roman"/>
              </w:rPr>
              <w:t xml:space="preserve">                  </w:t>
            </w:r>
            <w:r w:rsidR="00445ADF" w:rsidRPr="00957A3D">
              <w:rPr>
                <w:rFonts w:ascii="Times New Roman" w:hAnsi="Times New Roman" w:cs="Times New Roman"/>
                <w:b/>
              </w:rPr>
              <w:t>750.000</w:t>
            </w:r>
          </w:p>
        </w:tc>
        <w:tc>
          <w:tcPr>
            <w:tcW w:w="0" w:type="auto"/>
          </w:tcPr>
          <w:p w:rsidR="00CB06A0" w:rsidRPr="00957A3D" w:rsidRDefault="00445ADF" w:rsidP="00815611">
            <w:pPr>
              <w:pStyle w:val="Default"/>
              <w:spacing w:line="360" w:lineRule="auto"/>
              <w:jc w:val="both"/>
              <w:rPr>
                <w:rFonts w:ascii="Times New Roman" w:hAnsi="Times New Roman" w:cs="Times New Roman"/>
                <w:b/>
              </w:rPr>
            </w:pPr>
            <w:r>
              <w:rPr>
                <w:rFonts w:ascii="Times New Roman" w:hAnsi="Times New Roman" w:cs="Times New Roman"/>
              </w:rPr>
              <w:t xml:space="preserve">                 </w:t>
            </w:r>
            <w:r w:rsidRPr="00957A3D">
              <w:rPr>
                <w:rFonts w:ascii="Times New Roman" w:hAnsi="Times New Roman" w:cs="Times New Roman"/>
                <w:b/>
              </w:rPr>
              <w:t>200.000</w:t>
            </w:r>
          </w:p>
        </w:tc>
      </w:tr>
    </w:tbl>
    <w:p w:rsidR="00CB06A0" w:rsidRDefault="00957A3D" w:rsidP="00957A3D">
      <w:pPr>
        <w:pStyle w:val="Default"/>
        <w:spacing w:line="276" w:lineRule="auto"/>
        <w:jc w:val="both"/>
        <w:rPr>
          <w:rFonts w:ascii="Times New Roman" w:hAnsi="Times New Roman" w:cs="Times New Roman"/>
          <w:sz w:val="20"/>
          <w:szCs w:val="20"/>
        </w:rPr>
      </w:pPr>
      <w:r w:rsidRPr="00957A3D">
        <w:rPr>
          <w:rFonts w:ascii="Times New Roman" w:hAnsi="Times New Roman" w:cs="Times New Roman"/>
          <w:sz w:val="20"/>
          <w:szCs w:val="20"/>
        </w:rPr>
        <w:t xml:space="preserve">Źródło: </w:t>
      </w:r>
      <w:proofErr w:type="spellStart"/>
      <w:r w:rsidRPr="00957A3D">
        <w:rPr>
          <w:rFonts w:ascii="Times New Roman" w:hAnsi="Times New Roman" w:cs="Times New Roman"/>
          <w:sz w:val="20"/>
          <w:szCs w:val="20"/>
        </w:rPr>
        <w:t>Newsletter</w:t>
      </w:r>
      <w:proofErr w:type="spellEnd"/>
      <w:r w:rsidRPr="00957A3D">
        <w:rPr>
          <w:rFonts w:ascii="Times New Roman" w:hAnsi="Times New Roman" w:cs="Times New Roman"/>
          <w:sz w:val="20"/>
          <w:szCs w:val="20"/>
        </w:rPr>
        <w:t xml:space="preserve"> Departamentu Monitorowania Pomocy Publicznej Urzędu Ochrony Konkurencji i Konsumentów nr 1, grudzień 2014,  s. 4.</w:t>
      </w:r>
      <w:r>
        <w:rPr>
          <w:rFonts w:ascii="Times New Roman" w:hAnsi="Times New Roman" w:cs="Times New Roman"/>
          <w:sz w:val="20"/>
          <w:szCs w:val="20"/>
        </w:rPr>
        <w:t>.</w:t>
      </w:r>
    </w:p>
    <w:p w:rsidR="002A1F62" w:rsidRDefault="002A1F62" w:rsidP="00957A3D">
      <w:pPr>
        <w:pStyle w:val="Default"/>
        <w:spacing w:line="276" w:lineRule="auto"/>
        <w:jc w:val="both"/>
        <w:rPr>
          <w:rFonts w:ascii="Times New Roman" w:hAnsi="Times New Roman" w:cs="Times New Roman"/>
          <w:sz w:val="20"/>
          <w:szCs w:val="20"/>
        </w:rPr>
      </w:pPr>
    </w:p>
    <w:p w:rsidR="002A1F62" w:rsidRPr="002A1F62" w:rsidRDefault="002A1F62" w:rsidP="00957A3D">
      <w:pPr>
        <w:pStyle w:val="Default"/>
        <w:spacing w:line="276" w:lineRule="auto"/>
        <w:jc w:val="both"/>
        <w:rPr>
          <w:rFonts w:ascii="Times New Roman" w:hAnsi="Times New Roman" w:cs="Times New Roman"/>
          <w:b/>
        </w:rPr>
      </w:pPr>
      <w:r w:rsidRPr="002A1F62">
        <w:rPr>
          <w:rFonts w:ascii="Times New Roman" w:hAnsi="Times New Roman" w:cs="Times New Roman"/>
          <w:b/>
        </w:rPr>
        <w:t>Obowiązki państw członkowskich</w:t>
      </w:r>
    </w:p>
    <w:p w:rsidR="002A1F62" w:rsidRPr="002A1F62" w:rsidRDefault="002A1F62" w:rsidP="00957A3D">
      <w:pPr>
        <w:pStyle w:val="Default"/>
        <w:spacing w:line="276" w:lineRule="auto"/>
        <w:jc w:val="both"/>
        <w:rPr>
          <w:rFonts w:ascii="Times New Roman" w:hAnsi="Times New Roman" w:cs="Times New Roman"/>
        </w:rPr>
      </w:pPr>
    </w:p>
    <w:p w:rsidR="002A1F62" w:rsidRPr="002A1F62" w:rsidRDefault="002A1F62" w:rsidP="002A1F62">
      <w:pPr>
        <w:pStyle w:val="Default"/>
        <w:spacing w:line="360" w:lineRule="auto"/>
        <w:jc w:val="both"/>
        <w:rPr>
          <w:rFonts w:ascii="Times New Roman" w:hAnsi="Times New Roman" w:cs="Times New Roman"/>
        </w:rPr>
      </w:pPr>
      <w:r>
        <w:rPr>
          <w:rFonts w:ascii="Times New Roman" w:hAnsi="Times New Roman" w:cs="Times New Roman"/>
        </w:rPr>
        <w:t xml:space="preserve">Obowiązek kontrolowania przyznawania pomocy publicznej de </w:t>
      </w:r>
      <w:proofErr w:type="spellStart"/>
      <w:r>
        <w:rPr>
          <w:rFonts w:ascii="Times New Roman" w:hAnsi="Times New Roman" w:cs="Times New Roman"/>
        </w:rPr>
        <w:t>minimis</w:t>
      </w:r>
      <w:proofErr w:type="spellEnd"/>
      <w:r>
        <w:rPr>
          <w:rFonts w:ascii="Times New Roman" w:hAnsi="Times New Roman" w:cs="Times New Roman"/>
        </w:rPr>
        <w:t xml:space="preserve"> spoczywa na państwach członkowskich. Każdy kraj powinien powiadomić podmiot gospodarczy o charakterze de </w:t>
      </w:r>
      <w:proofErr w:type="spellStart"/>
      <w:r>
        <w:rPr>
          <w:rFonts w:ascii="Times New Roman" w:hAnsi="Times New Roman" w:cs="Times New Roman"/>
        </w:rPr>
        <w:t>minimis</w:t>
      </w:r>
      <w:proofErr w:type="spellEnd"/>
      <w:r>
        <w:rPr>
          <w:rFonts w:ascii="Times New Roman" w:hAnsi="Times New Roman" w:cs="Times New Roman"/>
        </w:rPr>
        <w:t xml:space="preserve"> pomocy, o jej wysokości oraz uzyskać informacje o już uzyskanej przez ten podmiot pomocy de </w:t>
      </w:r>
      <w:proofErr w:type="spellStart"/>
      <w:r>
        <w:rPr>
          <w:rFonts w:ascii="Times New Roman" w:hAnsi="Times New Roman" w:cs="Times New Roman"/>
        </w:rPr>
        <w:t>minimis</w:t>
      </w:r>
      <w:proofErr w:type="spellEnd"/>
      <w:r>
        <w:rPr>
          <w:rFonts w:ascii="Times New Roman" w:hAnsi="Times New Roman" w:cs="Times New Roman"/>
        </w:rPr>
        <w:t xml:space="preserve">. W każdym kraju UE istnieje centralny rejestr pomocy de </w:t>
      </w:r>
      <w:proofErr w:type="spellStart"/>
      <w:r>
        <w:rPr>
          <w:rFonts w:ascii="Times New Roman" w:hAnsi="Times New Roman" w:cs="Times New Roman"/>
        </w:rPr>
        <w:t>minimis</w:t>
      </w:r>
      <w:proofErr w:type="spellEnd"/>
      <w:r>
        <w:rPr>
          <w:rFonts w:ascii="Times New Roman" w:hAnsi="Times New Roman" w:cs="Times New Roman"/>
        </w:rPr>
        <w:t>. Dane zgromadzone w rejestrze przechowuje się przez 10 lat podatkowych, licząc od daty przyznania pomocy. Na pisemny wniosek Komisji każde państwo członkowskie jest zobowiązane przekazać informacje niezbędne do oceny czy pomoc spełnia warunki danego rozporządzenia.</w:t>
      </w:r>
    </w:p>
    <w:sectPr w:rsidR="002A1F62" w:rsidRPr="002A1F62" w:rsidSect="00D407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32B23"/>
    <w:rsid w:val="00167F0F"/>
    <w:rsid w:val="002A1F62"/>
    <w:rsid w:val="002B18D1"/>
    <w:rsid w:val="00303CAF"/>
    <w:rsid w:val="003377B3"/>
    <w:rsid w:val="00445ADF"/>
    <w:rsid w:val="005F249E"/>
    <w:rsid w:val="0066765F"/>
    <w:rsid w:val="00815611"/>
    <w:rsid w:val="008707E9"/>
    <w:rsid w:val="00957A3D"/>
    <w:rsid w:val="00AB4E68"/>
    <w:rsid w:val="00B32B23"/>
    <w:rsid w:val="00CB06A0"/>
    <w:rsid w:val="00CC5AEC"/>
    <w:rsid w:val="00D40738"/>
    <w:rsid w:val="00EE58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AEC"/>
    <w:pPr>
      <w:spacing w:after="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5882"/>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EE5882"/>
    <w:rPr>
      <w:rFonts w:cstheme="minorBidi"/>
      <w:color w:val="auto"/>
    </w:rPr>
  </w:style>
  <w:style w:type="paragraph" w:customStyle="1" w:styleId="CM3">
    <w:name w:val="CM3"/>
    <w:basedOn w:val="Default"/>
    <w:next w:val="Default"/>
    <w:uiPriority w:val="99"/>
    <w:rsid w:val="00EE5882"/>
    <w:rPr>
      <w:rFonts w:cstheme="minorBidi"/>
      <w:color w:val="auto"/>
    </w:rPr>
  </w:style>
  <w:style w:type="paragraph" w:customStyle="1" w:styleId="CM4">
    <w:name w:val="CM4"/>
    <w:basedOn w:val="Default"/>
    <w:next w:val="Default"/>
    <w:uiPriority w:val="99"/>
    <w:rsid w:val="00EE5882"/>
    <w:rPr>
      <w:rFonts w:cstheme="minorBidi"/>
      <w:color w:val="auto"/>
    </w:rPr>
  </w:style>
  <w:style w:type="table" w:styleId="Tabela-Siatka">
    <w:name w:val="Table Grid"/>
    <w:basedOn w:val="Standardowy"/>
    <w:uiPriority w:val="59"/>
    <w:rsid w:val="00CB0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845</Words>
  <Characters>5071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5</cp:revision>
  <dcterms:created xsi:type="dcterms:W3CDTF">2020-04-08T19:36:00Z</dcterms:created>
  <dcterms:modified xsi:type="dcterms:W3CDTF">2020-04-09T10:56:00Z</dcterms:modified>
</cp:coreProperties>
</file>