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AA" w:rsidRPr="00E37DAA" w:rsidRDefault="00E37DAA" w:rsidP="00E37DAA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E37DAA">
        <w:rPr>
          <w:rFonts w:ascii="Verdana" w:hAnsi="Verdana"/>
          <w:b/>
          <w:sz w:val="20"/>
          <w:szCs w:val="20"/>
          <w:lang w:val="pl-PL"/>
        </w:rPr>
        <w:t>Literatura podstawowa:</w:t>
      </w:r>
    </w:p>
    <w:p w:rsidR="00E37DAA" w:rsidRPr="00E37DAA" w:rsidRDefault="00E37DAA" w:rsidP="00E04375">
      <w:pPr>
        <w:jc w:val="both"/>
        <w:rPr>
          <w:rFonts w:ascii="Verdana" w:hAnsi="Verdana"/>
          <w:sz w:val="20"/>
          <w:szCs w:val="20"/>
          <w:lang w:val="pl-PL"/>
        </w:rPr>
      </w:pPr>
      <w:bookmarkStart w:id="0" w:name="_GoBack"/>
      <w:r w:rsidRPr="00E37DAA">
        <w:rPr>
          <w:rFonts w:ascii="Verdana" w:hAnsi="Verdana"/>
          <w:sz w:val="20"/>
          <w:szCs w:val="20"/>
          <w:lang w:val="pl-PL"/>
        </w:rPr>
        <w:t>Prawo restrukturyzacyjne i upadłościowe. System Prawa Handlowego. Tom 6 Seria: System Prawa Handlowego, Warszawa 2016, Wydawnictwo C.H. BECK</w:t>
      </w:r>
    </w:p>
    <w:bookmarkEnd w:id="0"/>
    <w:p w:rsidR="00E37DAA" w:rsidRDefault="00E37DAA" w:rsidP="00E37DAA">
      <w:pPr>
        <w:jc w:val="center"/>
        <w:rPr>
          <w:rFonts w:ascii="Verdana" w:hAnsi="Verdana"/>
          <w:b/>
          <w:sz w:val="20"/>
          <w:szCs w:val="20"/>
          <w:lang w:val="pl-PL"/>
        </w:rPr>
      </w:pPr>
    </w:p>
    <w:p w:rsidR="00E37DAA" w:rsidRPr="00E37DAA" w:rsidRDefault="00E37DAA" w:rsidP="00E37DAA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E37DAA">
        <w:rPr>
          <w:rFonts w:ascii="Verdana" w:hAnsi="Verdana"/>
          <w:b/>
          <w:sz w:val="20"/>
          <w:szCs w:val="20"/>
          <w:lang w:val="pl-PL"/>
        </w:rPr>
        <w:t>Literatura uzupełniająca:</w:t>
      </w:r>
    </w:p>
    <w:p w:rsidR="00E37DAA" w:rsidRPr="00E37DAA" w:rsidRDefault="00E37DAA" w:rsidP="00E04375">
      <w:pPr>
        <w:jc w:val="both"/>
        <w:rPr>
          <w:rFonts w:ascii="Verdana" w:hAnsi="Verdana"/>
          <w:sz w:val="20"/>
          <w:szCs w:val="20"/>
          <w:lang w:val="pl-PL"/>
        </w:rPr>
      </w:pPr>
      <w:r w:rsidRPr="00E37DAA">
        <w:rPr>
          <w:rFonts w:ascii="Verdana" w:hAnsi="Verdana"/>
          <w:sz w:val="20"/>
          <w:szCs w:val="20"/>
          <w:lang w:val="pl-PL"/>
        </w:rPr>
        <w:t>S. Gurgul, Prawo upadłościowe. Prawo restrukturyzacyjne. Komentarz, Warszawa 2016</w:t>
      </w:r>
    </w:p>
    <w:p w:rsidR="00E37DAA" w:rsidRPr="00E37DAA" w:rsidRDefault="00E37DAA" w:rsidP="00E04375">
      <w:pPr>
        <w:jc w:val="both"/>
        <w:rPr>
          <w:rFonts w:ascii="Verdana" w:hAnsi="Verdana"/>
          <w:sz w:val="20"/>
          <w:szCs w:val="20"/>
          <w:lang w:val="pl-PL"/>
        </w:rPr>
      </w:pPr>
      <w:r w:rsidRPr="00E37DAA">
        <w:rPr>
          <w:rFonts w:ascii="Verdana" w:hAnsi="Verdana"/>
          <w:sz w:val="20"/>
          <w:szCs w:val="20"/>
          <w:lang w:val="pl-PL"/>
        </w:rPr>
        <w:t>R. Adamus, Prawo restrukturyzacyjne. Komentarz, Warszawa 2015</w:t>
      </w:r>
    </w:p>
    <w:p w:rsidR="00E37DAA" w:rsidRPr="00E37DAA" w:rsidRDefault="00E37DAA" w:rsidP="00E04375">
      <w:pPr>
        <w:jc w:val="both"/>
        <w:rPr>
          <w:rFonts w:ascii="Verdana" w:hAnsi="Verdana"/>
          <w:sz w:val="20"/>
          <w:szCs w:val="20"/>
          <w:lang w:val="pl-PL"/>
        </w:rPr>
      </w:pPr>
      <w:r w:rsidRPr="00E37DAA">
        <w:rPr>
          <w:rFonts w:ascii="Verdana" w:hAnsi="Verdana"/>
          <w:sz w:val="20"/>
          <w:szCs w:val="20"/>
          <w:lang w:val="pl-PL"/>
        </w:rPr>
        <w:t xml:space="preserve">P. </w:t>
      </w:r>
      <w:proofErr w:type="spellStart"/>
      <w:r w:rsidRPr="00E37DAA">
        <w:rPr>
          <w:rFonts w:ascii="Verdana" w:hAnsi="Verdana"/>
          <w:sz w:val="20"/>
          <w:szCs w:val="20"/>
          <w:lang w:val="pl-PL"/>
        </w:rPr>
        <w:t>Zimmerman</w:t>
      </w:r>
      <w:proofErr w:type="spellEnd"/>
      <w:r w:rsidRPr="00E37DAA">
        <w:rPr>
          <w:rFonts w:ascii="Verdana" w:hAnsi="Verdana"/>
          <w:sz w:val="20"/>
          <w:szCs w:val="20"/>
          <w:lang w:val="pl-PL"/>
        </w:rPr>
        <w:t xml:space="preserve">, Prawo upadłościowe. Prawo restrukturyzacyjne. Komentarz, Warszawa 2015 </w:t>
      </w:r>
    </w:p>
    <w:p w:rsidR="003C6A46" w:rsidRDefault="00E04375"/>
    <w:sectPr w:rsidR="003C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AA"/>
    <w:rsid w:val="000D4886"/>
    <w:rsid w:val="001D3F83"/>
    <w:rsid w:val="00327E8B"/>
    <w:rsid w:val="004B3ED7"/>
    <w:rsid w:val="007012E1"/>
    <w:rsid w:val="00E04375"/>
    <w:rsid w:val="00E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Prawny/Legal Department</dc:creator>
  <cp:lastModifiedBy>Dział Prawny/Legal Department</cp:lastModifiedBy>
  <cp:revision>2</cp:revision>
  <dcterms:created xsi:type="dcterms:W3CDTF">2020-03-02T07:12:00Z</dcterms:created>
  <dcterms:modified xsi:type="dcterms:W3CDTF">2020-03-02T07:13:00Z</dcterms:modified>
</cp:coreProperties>
</file>