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96F" w:rsidRDefault="00272ACF">
      <w:pPr>
        <w:pStyle w:val="Tytu"/>
      </w:pPr>
      <w:r>
        <w:t>Dostęp do informacji publicznej i ochrona danych osobowych</w:t>
      </w:r>
    </w:p>
    <w:p w:rsidR="00DC796F" w:rsidRDefault="00DC796F">
      <w:pPr>
        <w:pStyle w:val="Tre"/>
      </w:pPr>
    </w:p>
    <w:p w:rsidR="00DC796F" w:rsidRDefault="00272ACF">
      <w:pPr>
        <w:pStyle w:val="Tre"/>
      </w:pPr>
      <w:r>
        <w:rPr>
          <w:b/>
          <w:bCs/>
          <w:color w:val="7F7F7F"/>
        </w:rPr>
        <w:t>SPIS TREŚCI:</w:t>
      </w:r>
    </w:p>
    <w:p w:rsidR="00DC796F" w:rsidRDefault="00DC796F">
      <w:pPr>
        <w:pStyle w:val="Tre"/>
      </w:pPr>
    </w:p>
    <w:p w:rsidR="00DC796F" w:rsidRDefault="00272ACF">
      <w:pPr>
        <w:pStyle w:val="Tre"/>
      </w:pPr>
      <w:r>
        <w:fldChar w:fldCharType="begin"/>
      </w:r>
      <w:r>
        <w:instrText xml:space="preserve"> TOC \t "Nagłówek, 1,Nagłówek 2, 2,Tytuł, 3"</w:instrText>
      </w:r>
      <w:r>
        <w:fldChar w:fldCharType="separate"/>
      </w:r>
    </w:p>
    <w:p w:rsidR="00DC796F" w:rsidRPr="001842FB" w:rsidRDefault="00272ACF">
      <w:pPr>
        <w:tabs>
          <w:tab w:val="right" w:pos="8928"/>
        </w:tabs>
        <w:spacing w:after="120"/>
        <w:ind w:left="240"/>
        <w:rPr>
          <w:rFonts w:ascii="Helvetica" w:eastAsia="Helvetica" w:hAnsi="Helvetica" w:cs="Helvetica"/>
          <w:b/>
          <w:bCs/>
          <w:color w:val="7F7F7F"/>
          <w:sz w:val="20"/>
          <w:szCs w:val="20"/>
          <w:lang w:val="pl-PL"/>
        </w:rPr>
      </w:pPr>
      <w:r w:rsidRPr="001842FB">
        <w:rPr>
          <w:rFonts w:ascii="Helvetica" w:hAnsi="Helvetica" w:cs="Arial Unicode MS"/>
          <w:b/>
          <w:bCs/>
          <w:color w:val="7F7F7F"/>
          <w:sz w:val="20"/>
          <w:szCs w:val="20"/>
          <w:lang w:val="pl-PL"/>
        </w:rPr>
        <w:t>Wykład</w:t>
      </w:r>
      <w:r w:rsidRPr="001842FB">
        <w:rPr>
          <w:rFonts w:ascii="Helvetica" w:hAnsi="Helvetica" w:cs="Arial Unicode MS"/>
          <w:b/>
          <w:bCs/>
          <w:color w:val="7F7F7F"/>
          <w:sz w:val="20"/>
          <w:szCs w:val="20"/>
          <w:lang w:val="pl-PL"/>
        </w:rPr>
        <w:tab/>
      </w:r>
      <w:r>
        <w:rPr>
          <w:rFonts w:ascii="Helvetica" w:eastAsia="Helvetica" w:hAnsi="Helvetica" w:cs="Helvetica"/>
          <w:b/>
          <w:bCs/>
          <w:color w:val="7F7F7F"/>
          <w:sz w:val="20"/>
          <w:szCs w:val="20"/>
        </w:rPr>
        <w:fldChar w:fldCharType="begin"/>
      </w:r>
      <w:r w:rsidRPr="001842FB">
        <w:rPr>
          <w:rFonts w:ascii="Helvetica" w:eastAsia="Helvetica" w:hAnsi="Helvetica" w:cs="Helvetica"/>
          <w:b/>
          <w:bCs/>
          <w:color w:val="7F7F7F"/>
          <w:sz w:val="20"/>
          <w:szCs w:val="20"/>
          <w:lang w:val="pl-PL"/>
        </w:rPr>
        <w:instrText xml:space="preserve"> PAGEREF _Toc \h </w:instrText>
      </w:r>
      <w:r>
        <w:rPr>
          <w:rFonts w:ascii="Helvetica" w:eastAsia="Helvetica" w:hAnsi="Helvetica" w:cs="Helvetica"/>
          <w:b/>
          <w:bCs/>
          <w:color w:val="7F7F7F"/>
          <w:sz w:val="20"/>
          <w:szCs w:val="20"/>
        </w:rPr>
      </w:r>
      <w:r>
        <w:rPr>
          <w:rFonts w:ascii="Helvetica" w:eastAsia="Helvetica" w:hAnsi="Helvetica" w:cs="Helvetica"/>
          <w:b/>
          <w:bCs/>
          <w:color w:val="7F7F7F"/>
          <w:sz w:val="20"/>
          <w:szCs w:val="20"/>
        </w:rPr>
        <w:fldChar w:fldCharType="separate"/>
      </w:r>
      <w:r w:rsidRPr="001842FB">
        <w:rPr>
          <w:rFonts w:ascii="Helvetica" w:hAnsi="Helvetica" w:cs="Arial Unicode MS"/>
          <w:b/>
          <w:bCs/>
          <w:color w:val="7F7F7F"/>
          <w:sz w:val="20"/>
          <w:szCs w:val="20"/>
          <w:lang w:val="pl-PL"/>
        </w:rPr>
        <w:t>1</w:t>
      </w:r>
      <w:r>
        <w:rPr>
          <w:rFonts w:ascii="Helvetica" w:eastAsia="Helvetica" w:hAnsi="Helvetica" w:cs="Helvetica"/>
          <w:b/>
          <w:bCs/>
          <w:color w:val="7F7F7F"/>
          <w:sz w:val="20"/>
          <w:szCs w:val="20"/>
        </w:rPr>
        <w:fldChar w:fldCharType="end"/>
      </w:r>
    </w:p>
    <w:p w:rsidR="00DC796F" w:rsidRPr="001842FB" w:rsidRDefault="00272ACF">
      <w:pPr>
        <w:tabs>
          <w:tab w:val="right" w:pos="8928"/>
        </w:tabs>
        <w:spacing w:after="120"/>
        <w:ind w:left="240"/>
        <w:rPr>
          <w:rFonts w:ascii="Helvetica" w:eastAsia="Helvetica" w:hAnsi="Helvetica" w:cs="Helvetica"/>
          <w:color w:val="7F7F7F"/>
          <w:sz w:val="20"/>
          <w:szCs w:val="20"/>
          <w:lang w:val="pl-PL"/>
        </w:rPr>
      </w:pPr>
      <w:r w:rsidRPr="001842FB">
        <w:rPr>
          <w:rFonts w:ascii="Helvetica" w:hAnsi="Helvetica" w:cs="Arial Unicode MS"/>
          <w:color w:val="7F7F7F"/>
          <w:sz w:val="20"/>
          <w:szCs w:val="20"/>
          <w:lang w:val="pl-PL"/>
        </w:rPr>
        <w:t>Prowadzący</w:t>
      </w:r>
      <w:r w:rsidRPr="001842FB">
        <w:rPr>
          <w:rFonts w:ascii="Helvetica" w:hAnsi="Helvetica" w:cs="Arial Unicode MS"/>
          <w:color w:val="7F7F7F"/>
          <w:sz w:val="20"/>
          <w:szCs w:val="20"/>
          <w:lang w:val="pl-PL"/>
        </w:rPr>
        <w:tab/>
      </w:r>
      <w:r>
        <w:rPr>
          <w:rFonts w:ascii="Helvetica" w:eastAsia="Helvetica" w:hAnsi="Helvetica" w:cs="Helvetica"/>
          <w:color w:val="7F7F7F"/>
          <w:sz w:val="20"/>
          <w:szCs w:val="20"/>
        </w:rPr>
        <w:fldChar w:fldCharType="begin"/>
      </w:r>
      <w:r w:rsidRPr="001842FB">
        <w:rPr>
          <w:rFonts w:ascii="Helvetica" w:eastAsia="Helvetica" w:hAnsi="Helvetica" w:cs="Helvetica"/>
          <w:color w:val="7F7F7F"/>
          <w:sz w:val="20"/>
          <w:szCs w:val="20"/>
          <w:lang w:val="pl-PL"/>
        </w:rPr>
        <w:instrText xml:space="preserve"> PAGEREF _Toc1 \h </w:instrText>
      </w:r>
      <w:r>
        <w:rPr>
          <w:rFonts w:ascii="Helvetica" w:eastAsia="Helvetica" w:hAnsi="Helvetica" w:cs="Helvetica"/>
          <w:color w:val="7F7F7F"/>
          <w:sz w:val="20"/>
          <w:szCs w:val="20"/>
        </w:rPr>
      </w:r>
      <w:r>
        <w:rPr>
          <w:rFonts w:ascii="Helvetica" w:eastAsia="Helvetica" w:hAnsi="Helvetica" w:cs="Helvetica"/>
          <w:color w:val="7F7F7F"/>
          <w:sz w:val="20"/>
          <w:szCs w:val="20"/>
        </w:rPr>
        <w:fldChar w:fldCharType="separate"/>
      </w:r>
      <w:r w:rsidRPr="001842FB">
        <w:rPr>
          <w:rFonts w:ascii="Helvetica" w:hAnsi="Helvetica" w:cs="Arial Unicode MS"/>
          <w:color w:val="7F7F7F"/>
          <w:sz w:val="20"/>
          <w:szCs w:val="20"/>
          <w:lang w:val="pl-PL"/>
        </w:rPr>
        <w:t>1</w:t>
      </w:r>
      <w:r>
        <w:rPr>
          <w:rFonts w:ascii="Helvetica" w:eastAsia="Helvetica" w:hAnsi="Helvetica" w:cs="Helvetica"/>
          <w:color w:val="7F7F7F"/>
          <w:sz w:val="20"/>
          <w:szCs w:val="20"/>
        </w:rPr>
        <w:fldChar w:fldCharType="end"/>
      </w:r>
    </w:p>
    <w:p w:rsidR="00DC796F" w:rsidRPr="001842FB" w:rsidRDefault="00272ACF">
      <w:pPr>
        <w:tabs>
          <w:tab w:val="right" w:pos="8928"/>
        </w:tabs>
        <w:spacing w:after="120"/>
        <w:ind w:left="240"/>
        <w:rPr>
          <w:rFonts w:ascii="Helvetica" w:eastAsia="Helvetica" w:hAnsi="Helvetica" w:cs="Helvetica"/>
          <w:color w:val="7F7F7F"/>
          <w:sz w:val="20"/>
          <w:szCs w:val="20"/>
          <w:lang w:val="pl-PL"/>
        </w:rPr>
      </w:pPr>
      <w:r w:rsidRPr="001842FB">
        <w:rPr>
          <w:rFonts w:ascii="Helvetica" w:hAnsi="Helvetica" w:cs="Arial Unicode MS"/>
          <w:color w:val="7F7F7F"/>
          <w:sz w:val="20"/>
          <w:szCs w:val="20"/>
          <w:lang w:val="pl-PL"/>
        </w:rPr>
        <w:t>Przedmiot wykładu</w:t>
      </w:r>
      <w:r w:rsidRPr="001842FB">
        <w:rPr>
          <w:rFonts w:ascii="Helvetica" w:hAnsi="Helvetica" w:cs="Arial Unicode MS"/>
          <w:color w:val="7F7F7F"/>
          <w:sz w:val="20"/>
          <w:szCs w:val="20"/>
          <w:lang w:val="pl-PL"/>
        </w:rPr>
        <w:tab/>
      </w:r>
      <w:r>
        <w:rPr>
          <w:rFonts w:ascii="Helvetica" w:eastAsia="Helvetica" w:hAnsi="Helvetica" w:cs="Helvetica"/>
          <w:color w:val="7F7F7F"/>
          <w:sz w:val="20"/>
          <w:szCs w:val="20"/>
        </w:rPr>
        <w:fldChar w:fldCharType="begin"/>
      </w:r>
      <w:r w:rsidRPr="001842FB">
        <w:rPr>
          <w:rFonts w:ascii="Helvetica" w:eastAsia="Helvetica" w:hAnsi="Helvetica" w:cs="Helvetica"/>
          <w:color w:val="7F7F7F"/>
          <w:sz w:val="20"/>
          <w:szCs w:val="20"/>
          <w:lang w:val="pl-PL"/>
        </w:rPr>
        <w:instrText xml:space="preserve"> PAGEREF _Toc2 \h </w:instrText>
      </w:r>
      <w:r>
        <w:rPr>
          <w:rFonts w:ascii="Helvetica" w:eastAsia="Helvetica" w:hAnsi="Helvetica" w:cs="Helvetica"/>
          <w:color w:val="7F7F7F"/>
          <w:sz w:val="20"/>
          <w:szCs w:val="20"/>
        </w:rPr>
      </w:r>
      <w:r>
        <w:rPr>
          <w:rFonts w:ascii="Helvetica" w:eastAsia="Helvetica" w:hAnsi="Helvetica" w:cs="Helvetica"/>
          <w:color w:val="7F7F7F"/>
          <w:sz w:val="20"/>
          <w:szCs w:val="20"/>
        </w:rPr>
        <w:fldChar w:fldCharType="separate"/>
      </w:r>
      <w:r w:rsidRPr="001842FB">
        <w:rPr>
          <w:rFonts w:ascii="Helvetica" w:hAnsi="Helvetica" w:cs="Arial Unicode MS"/>
          <w:color w:val="7F7F7F"/>
          <w:sz w:val="20"/>
          <w:szCs w:val="20"/>
          <w:lang w:val="pl-PL"/>
        </w:rPr>
        <w:t>1</w:t>
      </w:r>
      <w:r>
        <w:rPr>
          <w:rFonts w:ascii="Helvetica" w:eastAsia="Helvetica" w:hAnsi="Helvetica" w:cs="Helvetica"/>
          <w:color w:val="7F7F7F"/>
          <w:sz w:val="20"/>
          <w:szCs w:val="20"/>
        </w:rPr>
        <w:fldChar w:fldCharType="end"/>
      </w:r>
    </w:p>
    <w:p w:rsidR="00DC796F" w:rsidRPr="001842FB" w:rsidRDefault="00272ACF">
      <w:pPr>
        <w:tabs>
          <w:tab w:val="right" w:pos="8928"/>
        </w:tabs>
        <w:spacing w:after="120"/>
        <w:ind w:left="240"/>
        <w:rPr>
          <w:rFonts w:ascii="Helvetica" w:eastAsia="Helvetica" w:hAnsi="Helvetica" w:cs="Helvetica"/>
          <w:color w:val="7F7F7F"/>
          <w:sz w:val="20"/>
          <w:szCs w:val="20"/>
          <w:lang w:val="pl-PL"/>
        </w:rPr>
      </w:pPr>
      <w:r w:rsidRPr="001842FB">
        <w:rPr>
          <w:rFonts w:ascii="Helvetica" w:hAnsi="Helvetica" w:cs="Arial Unicode MS"/>
          <w:color w:val="7F7F7F"/>
          <w:sz w:val="20"/>
          <w:szCs w:val="20"/>
          <w:lang w:val="pl-PL"/>
        </w:rPr>
        <w:t>Egzamin</w:t>
      </w:r>
      <w:r w:rsidRPr="001842FB">
        <w:rPr>
          <w:rFonts w:ascii="Helvetica" w:hAnsi="Helvetica" w:cs="Arial Unicode MS"/>
          <w:color w:val="7F7F7F"/>
          <w:sz w:val="20"/>
          <w:szCs w:val="20"/>
          <w:lang w:val="pl-PL"/>
        </w:rPr>
        <w:tab/>
      </w:r>
      <w:r>
        <w:rPr>
          <w:rFonts w:ascii="Helvetica" w:eastAsia="Helvetica" w:hAnsi="Helvetica" w:cs="Helvetica"/>
          <w:color w:val="7F7F7F"/>
          <w:sz w:val="20"/>
          <w:szCs w:val="20"/>
        </w:rPr>
        <w:fldChar w:fldCharType="begin"/>
      </w:r>
      <w:r w:rsidRPr="001842FB">
        <w:rPr>
          <w:rFonts w:ascii="Helvetica" w:eastAsia="Helvetica" w:hAnsi="Helvetica" w:cs="Helvetica"/>
          <w:color w:val="7F7F7F"/>
          <w:sz w:val="20"/>
          <w:szCs w:val="20"/>
          <w:lang w:val="pl-PL"/>
        </w:rPr>
        <w:instrText xml:space="preserve"> PAGEREF _Toc3 \h </w:instrText>
      </w:r>
      <w:r>
        <w:rPr>
          <w:rFonts w:ascii="Helvetica" w:eastAsia="Helvetica" w:hAnsi="Helvetica" w:cs="Helvetica"/>
          <w:color w:val="7F7F7F"/>
          <w:sz w:val="20"/>
          <w:szCs w:val="20"/>
        </w:rPr>
      </w:r>
      <w:r>
        <w:rPr>
          <w:rFonts w:ascii="Helvetica" w:eastAsia="Helvetica" w:hAnsi="Helvetica" w:cs="Helvetica"/>
          <w:color w:val="7F7F7F"/>
          <w:sz w:val="20"/>
          <w:szCs w:val="20"/>
        </w:rPr>
        <w:fldChar w:fldCharType="separate"/>
      </w:r>
      <w:r w:rsidRPr="001842FB">
        <w:rPr>
          <w:rFonts w:ascii="Helvetica" w:hAnsi="Helvetica" w:cs="Arial Unicode MS"/>
          <w:color w:val="7F7F7F"/>
          <w:sz w:val="20"/>
          <w:szCs w:val="20"/>
          <w:lang w:val="pl-PL"/>
        </w:rPr>
        <w:t>2</w:t>
      </w:r>
      <w:r>
        <w:rPr>
          <w:rFonts w:ascii="Helvetica" w:eastAsia="Helvetica" w:hAnsi="Helvetica" w:cs="Helvetica"/>
          <w:color w:val="7F7F7F"/>
          <w:sz w:val="20"/>
          <w:szCs w:val="20"/>
        </w:rPr>
        <w:fldChar w:fldCharType="end"/>
      </w:r>
    </w:p>
    <w:p w:rsidR="00DC796F" w:rsidRPr="001842FB" w:rsidRDefault="00272ACF">
      <w:pPr>
        <w:tabs>
          <w:tab w:val="right" w:pos="8928"/>
        </w:tabs>
        <w:spacing w:after="120"/>
        <w:ind w:left="240"/>
        <w:rPr>
          <w:rFonts w:ascii="Helvetica" w:eastAsia="Helvetica" w:hAnsi="Helvetica" w:cs="Helvetica"/>
          <w:color w:val="7F7F7F"/>
          <w:sz w:val="20"/>
          <w:szCs w:val="20"/>
          <w:lang w:val="pl-PL"/>
        </w:rPr>
      </w:pPr>
      <w:r w:rsidRPr="001842FB">
        <w:rPr>
          <w:rFonts w:ascii="Helvetica" w:hAnsi="Helvetica" w:cs="Arial Unicode MS"/>
          <w:color w:val="7F7F7F"/>
          <w:sz w:val="20"/>
          <w:szCs w:val="20"/>
          <w:lang w:val="pl-PL"/>
        </w:rPr>
        <w:t xml:space="preserve">Akty prawne </w:t>
      </w:r>
      <w:r w:rsidRPr="001842FB">
        <w:rPr>
          <w:rFonts w:ascii="Helvetica" w:hAnsi="Helvetica" w:cs="Arial Unicode MS"/>
          <w:color w:val="7F7F7F"/>
          <w:sz w:val="20"/>
          <w:szCs w:val="20"/>
          <w:lang w:val="pl-PL"/>
        </w:rPr>
        <w:tab/>
      </w:r>
      <w:r>
        <w:rPr>
          <w:rFonts w:ascii="Helvetica" w:eastAsia="Helvetica" w:hAnsi="Helvetica" w:cs="Helvetica"/>
          <w:color w:val="7F7F7F"/>
          <w:sz w:val="20"/>
          <w:szCs w:val="20"/>
        </w:rPr>
        <w:fldChar w:fldCharType="begin"/>
      </w:r>
      <w:r w:rsidRPr="001842FB">
        <w:rPr>
          <w:rFonts w:ascii="Helvetica" w:eastAsia="Helvetica" w:hAnsi="Helvetica" w:cs="Helvetica"/>
          <w:color w:val="7F7F7F"/>
          <w:sz w:val="20"/>
          <w:szCs w:val="20"/>
          <w:lang w:val="pl-PL"/>
        </w:rPr>
        <w:instrText xml:space="preserve"> PAGEREF _Toc4 \h </w:instrText>
      </w:r>
      <w:r>
        <w:rPr>
          <w:rFonts w:ascii="Helvetica" w:eastAsia="Helvetica" w:hAnsi="Helvetica" w:cs="Helvetica"/>
          <w:color w:val="7F7F7F"/>
          <w:sz w:val="20"/>
          <w:szCs w:val="20"/>
        </w:rPr>
      </w:r>
      <w:r>
        <w:rPr>
          <w:rFonts w:ascii="Helvetica" w:eastAsia="Helvetica" w:hAnsi="Helvetica" w:cs="Helvetica"/>
          <w:color w:val="7F7F7F"/>
          <w:sz w:val="20"/>
          <w:szCs w:val="20"/>
        </w:rPr>
        <w:fldChar w:fldCharType="separate"/>
      </w:r>
      <w:r w:rsidRPr="001842FB">
        <w:rPr>
          <w:rFonts w:ascii="Helvetica" w:hAnsi="Helvetica" w:cs="Arial Unicode MS"/>
          <w:color w:val="7F7F7F"/>
          <w:sz w:val="20"/>
          <w:szCs w:val="20"/>
          <w:lang w:val="pl-PL"/>
        </w:rPr>
        <w:t>2</w:t>
      </w:r>
      <w:r>
        <w:rPr>
          <w:rFonts w:ascii="Helvetica" w:eastAsia="Helvetica" w:hAnsi="Helvetica" w:cs="Helvetica"/>
          <w:color w:val="7F7F7F"/>
          <w:sz w:val="20"/>
          <w:szCs w:val="20"/>
        </w:rPr>
        <w:fldChar w:fldCharType="end"/>
      </w:r>
    </w:p>
    <w:p w:rsidR="00DC796F" w:rsidRPr="001842FB" w:rsidRDefault="00272ACF">
      <w:pPr>
        <w:tabs>
          <w:tab w:val="right" w:pos="8928"/>
        </w:tabs>
        <w:spacing w:after="120"/>
        <w:ind w:left="240"/>
        <w:rPr>
          <w:rFonts w:ascii="Helvetica" w:eastAsia="Helvetica" w:hAnsi="Helvetica" w:cs="Helvetica"/>
          <w:color w:val="7F7F7F"/>
          <w:sz w:val="20"/>
          <w:szCs w:val="20"/>
          <w:lang w:val="pl-PL"/>
        </w:rPr>
      </w:pPr>
      <w:r>
        <w:rPr>
          <w:rFonts w:ascii="Helvetica" w:hAnsi="Helvetica" w:cs="Arial Unicode MS"/>
          <w:color w:val="7F7F7F"/>
          <w:sz w:val="20"/>
          <w:szCs w:val="20"/>
          <w:lang w:val="de-DE"/>
        </w:rPr>
        <w:t>Literatura</w:t>
      </w:r>
      <w:r>
        <w:rPr>
          <w:rFonts w:ascii="Helvetica" w:hAnsi="Helvetica" w:cs="Arial Unicode MS"/>
          <w:color w:val="7F7F7F"/>
          <w:sz w:val="20"/>
          <w:szCs w:val="20"/>
          <w:lang w:val="de-DE"/>
        </w:rPr>
        <w:tab/>
      </w:r>
      <w:r>
        <w:rPr>
          <w:rFonts w:ascii="Helvetica" w:eastAsia="Helvetica" w:hAnsi="Helvetica" w:cs="Helvetica"/>
          <w:color w:val="7F7F7F"/>
          <w:sz w:val="20"/>
          <w:szCs w:val="20"/>
        </w:rPr>
        <w:fldChar w:fldCharType="begin"/>
      </w:r>
      <w:r w:rsidRPr="001842FB">
        <w:rPr>
          <w:rFonts w:ascii="Helvetica" w:eastAsia="Helvetica" w:hAnsi="Helvetica" w:cs="Helvetica"/>
          <w:color w:val="7F7F7F"/>
          <w:sz w:val="20"/>
          <w:szCs w:val="20"/>
          <w:lang w:val="pl-PL"/>
        </w:rPr>
        <w:instrText xml:space="preserve"> PAGEREF _Toc5 \h </w:instrText>
      </w:r>
      <w:r>
        <w:rPr>
          <w:rFonts w:ascii="Helvetica" w:eastAsia="Helvetica" w:hAnsi="Helvetica" w:cs="Helvetica"/>
          <w:color w:val="7F7F7F"/>
          <w:sz w:val="20"/>
          <w:szCs w:val="20"/>
        </w:rPr>
      </w:r>
      <w:r>
        <w:rPr>
          <w:rFonts w:ascii="Helvetica" w:eastAsia="Helvetica" w:hAnsi="Helvetica" w:cs="Helvetica"/>
          <w:color w:val="7F7F7F"/>
          <w:sz w:val="20"/>
          <w:szCs w:val="20"/>
        </w:rPr>
        <w:fldChar w:fldCharType="separate"/>
      </w:r>
      <w:r w:rsidRPr="001842FB">
        <w:rPr>
          <w:rFonts w:ascii="Helvetica" w:hAnsi="Helvetica" w:cs="Arial Unicode MS"/>
          <w:color w:val="7F7F7F"/>
          <w:sz w:val="20"/>
          <w:szCs w:val="20"/>
          <w:lang w:val="pl-PL"/>
        </w:rPr>
        <w:t>2</w:t>
      </w:r>
      <w:r>
        <w:rPr>
          <w:rFonts w:ascii="Helvetica" w:eastAsia="Helvetica" w:hAnsi="Helvetica" w:cs="Helvetica"/>
          <w:color w:val="7F7F7F"/>
          <w:sz w:val="20"/>
          <w:szCs w:val="20"/>
        </w:rPr>
        <w:fldChar w:fldCharType="end"/>
      </w:r>
    </w:p>
    <w:p w:rsidR="00DC796F" w:rsidRPr="001842FB" w:rsidRDefault="00272ACF">
      <w:pPr>
        <w:tabs>
          <w:tab w:val="right" w:pos="8928"/>
        </w:tabs>
        <w:spacing w:after="120"/>
        <w:ind w:left="240"/>
        <w:rPr>
          <w:rFonts w:ascii="Helvetica" w:eastAsia="Helvetica" w:hAnsi="Helvetica" w:cs="Helvetica"/>
          <w:b/>
          <w:bCs/>
          <w:color w:val="7F7F7F"/>
          <w:sz w:val="20"/>
          <w:szCs w:val="20"/>
          <w:lang w:val="pl-PL"/>
        </w:rPr>
      </w:pPr>
      <w:r w:rsidRPr="001842FB">
        <w:rPr>
          <w:rFonts w:ascii="Helvetica" w:hAnsi="Helvetica" w:cs="Arial Unicode MS"/>
          <w:b/>
          <w:bCs/>
          <w:color w:val="7F7F7F"/>
          <w:sz w:val="20"/>
          <w:szCs w:val="20"/>
          <w:lang w:val="pl-PL"/>
        </w:rPr>
        <w:t>Ćwiczenia</w:t>
      </w:r>
      <w:r w:rsidRPr="001842FB">
        <w:rPr>
          <w:rFonts w:ascii="Helvetica" w:hAnsi="Helvetica" w:cs="Arial Unicode MS"/>
          <w:b/>
          <w:bCs/>
          <w:color w:val="7F7F7F"/>
          <w:sz w:val="20"/>
          <w:szCs w:val="20"/>
          <w:lang w:val="pl-PL"/>
        </w:rPr>
        <w:tab/>
      </w:r>
      <w:r>
        <w:rPr>
          <w:rFonts w:ascii="Helvetica" w:eastAsia="Helvetica" w:hAnsi="Helvetica" w:cs="Helvetica"/>
          <w:b/>
          <w:bCs/>
          <w:color w:val="7F7F7F"/>
          <w:sz w:val="20"/>
          <w:szCs w:val="20"/>
        </w:rPr>
        <w:fldChar w:fldCharType="begin"/>
      </w:r>
      <w:r w:rsidRPr="001842FB">
        <w:rPr>
          <w:rFonts w:ascii="Helvetica" w:eastAsia="Helvetica" w:hAnsi="Helvetica" w:cs="Helvetica"/>
          <w:b/>
          <w:bCs/>
          <w:color w:val="7F7F7F"/>
          <w:sz w:val="20"/>
          <w:szCs w:val="20"/>
          <w:lang w:val="pl-PL"/>
        </w:rPr>
        <w:instrText xml:space="preserve"> PAGEREF _Toc6 \h </w:instrText>
      </w:r>
      <w:r>
        <w:rPr>
          <w:rFonts w:ascii="Helvetica" w:eastAsia="Helvetica" w:hAnsi="Helvetica" w:cs="Helvetica"/>
          <w:b/>
          <w:bCs/>
          <w:color w:val="7F7F7F"/>
          <w:sz w:val="20"/>
          <w:szCs w:val="20"/>
        </w:rPr>
      </w:r>
      <w:r>
        <w:rPr>
          <w:rFonts w:ascii="Helvetica" w:eastAsia="Helvetica" w:hAnsi="Helvetica" w:cs="Helvetica"/>
          <w:b/>
          <w:bCs/>
          <w:color w:val="7F7F7F"/>
          <w:sz w:val="20"/>
          <w:szCs w:val="20"/>
        </w:rPr>
        <w:fldChar w:fldCharType="separate"/>
      </w:r>
      <w:r w:rsidRPr="001842FB">
        <w:rPr>
          <w:rFonts w:ascii="Helvetica" w:hAnsi="Helvetica" w:cs="Arial Unicode MS"/>
          <w:b/>
          <w:bCs/>
          <w:color w:val="7F7F7F"/>
          <w:sz w:val="20"/>
          <w:szCs w:val="20"/>
          <w:lang w:val="pl-PL"/>
        </w:rPr>
        <w:t>3</w:t>
      </w:r>
      <w:r>
        <w:rPr>
          <w:rFonts w:ascii="Helvetica" w:eastAsia="Helvetica" w:hAnsi="Helvetica" w:cs="Helvetica"/>
          <w:b/>
          <w:bCs/>
          <w:color w:val="7F7F7F"/>
          <w:sz w:val="20"/>
          <w:szCs w:val="20"/>
        </w:rPr>
        <w:fldChar w:fldCharType="end"/>
      </w:r>
    </w:p>
    <w:p w:rsidR="00DC796F" w:rsidRPr="001842FB" w:rsidRDefault="00272ACF">
      <w:pPr>
        <w:tabs>
          <w:tab w:val="right" w:pos="8928"/>
        </w:tabs>
        <w:spacing w:after="120"/>
        <w:ind w:left="240"/>
        <w:rPr>
          <w:rFonts w:ascii="Helvetica" w:eastAsia="Helvetica" w:hAnsi="Helvetica" w:cs="Helvetica"/>
          <w:color w:val="7F7F7F"/>
          <w:sz w:val="20"/>
          <w:szCs w:val="20"/>
          <w:lang w:val="pl-PL"/>
        </w:rPr>
      </w:pPr>
      <w:r w:rsidRPr="001842FB">
        <w:rPr>
          <w:rFonts w:ascii="Helvetica" w:hAnsi="Helvetica" w:cs="Arial Unicode MS"/>
          <w:color w:val="7F7F7F"/>
          <w:sz w:val="20"/>
          <w:szCs w:val="20"/>
          <w:lang w:val="pl-PL"/>
        </w:rPr>
        <w:t>Prowadzący</w:t>
      </w:r>
      <w:r w:rsidRPr="001842FB">
        <w:rPr>
          <w:rFonts w:ascii="Helvetica" w:hAnsi="Helvetica" w:cs="Arial Unicode MS"/>
          <w:color w:val="7F7F7F"/>
          <w:sz w:val="20"/>
          <w:szCs w:val="20"/>
          <w:lang w:val="pl-PL"/>
        </w:rPr>
        <w:tab/>
      </w:r>
      <w:r>
        <w:rPr>
          <w:rFonts w:ascii="Helvetica" w:eastAsia="Helvetica" w:hAnsi="Helvetica" w:cs="Helvetica"/>
          <w:color w:val="7F7F7F"/>
          <w:sz w:val="20"/>
          <w:szCs w:val="20"/>
        </w:rPr>
        <w:fldChar w:fldCharType="begin"/>
      </w:r>
      <w:r w:rsidRPr="001842FB">
        <w:rPr>
          <w:rFonts w:ascii="Helvetica" w:eastAsia="Helvetica" w:hAnsi="Helvetica" w:cs="Helvetica"/>
          <w:color w:val="7F7F7F"/>
          <w:sz w:val="20"/>
          <w:szCs w:val="20"/>
          <w:lang w:val="pl-PL"/>
        </w:rPr>
        <w:instrText xml:space="preserve"> PAGEREF _Toc7 \h </w:instrText>
      </w:r>
      <w:r>
        <w:rPr>
          <w:rFonts w:ascii="Helvetica" w:eastAsia="Helvetica" w:hAnsi="Helvetica" w:cs="Helvetica"/>
          <w:color w:val="7F7F7F"/>
          <w:sz w:val="20"/>
          <w:szCs w:val="20"/>
        </w:rPr>
      </w:r>
      <w:r>
        <w:rPr>
          <w:rFonts w:ascii="Helvetica" w:eastAsia="Helvetica" w:hAnsi="Helvetica" w:cs="Helvetica"/>
          <w:color w:val="7F7F7F"/>
          <w:sz w:val="20"/>
          <w:szCs w:val="20"/>
        </w:rPr>
        <w:fldChar w:fldCharType="separate"/>
      </w:r>
      <w:r w:rsidRPr="001842FB">
        <w:rPr>
          <w:rFonts w:ascii="Helvetica" w:hAnsi="Helvetica" w:cs="Arial Unicode MS"/>
          <w:color w:val="7F7F7F"/>
          <w:sz w:val="20"/>
          <w:szCs w:val="20"/>
          <w:lang w:val="pl-PL"/>
        </w:rPr>
        <w:t>3</w:t>
      </w:r>
      <w:r>
        <w:rPr>
          <w:rFonts w:ascii="Helvetica" w:eastAsia="Helvetica" w:hAnsi="Helvetica" w:cs="Helvetica"/>
          <w:color w:val="7F7F7F"/>
          <w:sz w:val="20"/>
          <w:szCs w:val="20"/>
        </w:rPr>
        <w:fldChar w:fldCharType="end"/>
      </w:r>
    </w:p>
    <w:p w:rsidR="00DC796F" w:rsidRPr="001842FB" w:rsidRDefault="00272ACF">
      <w:pPr>
        <w:tabs>
          <w:tab w:val="right" w:pos="8928"/>
        </w:tabs>
        <w:spacing w:after="120"/>
        <w:ind w:left="240"/>
        <w:rPr>
          <w:rFonts w:ascii="Helvetica" w:eastAsia="Helvetica" w:hAnsi="Helvetica" w:cs="Helvetica"/>
          <w:color w:val="7F7F7F"/>
          <w:sz w:val="20"/>
          <w:szCs w:val="20"/>
          <w:lang w:val="pl-PL"/>
        </w:rPr>
      </w:pPr>
      <w:r w:rsidRPr="001842FB">
        <w:rPr>
          <w:rFonts w:ascii="Helvetica" w:hAnsi="Helvetica" w:cs="Arial Unicode MS"/>
          <w:color w:val="7F7F7F"/>
          <w:sz w:val="20"/>
          <w:szCs w:val="20"/>
          <w:lang w:val="pl-PL"/>
        </w:rPr>
        <w:t>Przedmiot ćwiczeń</w:t>
      </w:r>
      <w:r w:rsidRPr="001842FB">
        <w:rPr>
          <w:rFonts w:ascii="Helvetica" w:hAnsi="Helvetica" w:cs="Arial Unicode MS"/>
          <w:color w:val="7F7F7F"/>
          <w:sz w:val="20"/>
          <w:szCs w:val="20"/>
          <w:lang w:val="pl-PL"/>
        </w:rPr>
        <w:tab/>
      </w:r>
      <w:r>
        <w:rPr>
          <w:rFonts w:ascii="Helvetica" w:eastAsia="Helvetica" w:hAnsi="Helvetica" w:cs="Helvetica"/>
          <w:color w:val="7F7F7F"/>
          <w:sz w:val="20"/>
          <w:szCs w:val="20"/>
        </w:rPr>
        <w:fldChar w:fldCharType="begin"/>
      </w:r>
      <w:r w:rsidRPr="001842FB">
        <w:rPr>
          <w:rFonts w:ascii="Helvetica" w:eastAsia="Helvetica" w:hAnsi="Helvetica" w:cs="Helvetica"/>
          <w:color w:val="7F7F7F"/>
          <w:sz w:val="20"/>
          <w:szCs w:val="20"/>
          <w:lang w:val="pl-PL"/>
        </w:rPr>
        <w:instrText xml:space="preserve"> PAGEREF _Toc8 \h </w:instrText>
      </w:r>
      <w:r>
        <w:rPr>
          <w:rFonts w:ascii="Helvetica" w:eastAsia="Helvetica" w:hAnsi="Helvetica" w:cs="Helvetica"/>
          <w:color w:val="7F7F7F"/>
          <w:sz w:val="20"/>
          <w:szCs w:val="20"/>
        </w:rPr>
      </w:r>
      <w:r>
        <w:rPr>
          <w:rFonts w:ascii="Helvetica" w:eastAsia="Helvetica" w:hAnsi="Helvetica" w:cs="Helvetica"/>
          <w:color w:val="7F7F7F"/>
          <w:sz w:val="20"/>
          <w:szCs w:val="20"/>
        </w:rPr>
        <w:fldChar w:fldCharType="separate"/>
      </w:r>
      <w:r w:rsidRPr="001842FB">
        <w:rPr>
          <w:rFonts w:ascii="Helvetica" w:hAnsi="Helvetica" w:cs="Arial Unicode MS"/>
          <w:color w:val="7F7F7F"/>
          <w:sz w:val="20"/>
          <w:szCs w:val="20"/>
          <w:lang w:val="pl-PL"/>
        </w:rPr>
        <w:t>3</w:t>
      </w:r>
      <w:r>
        <w:rPr>
          <w:rFonts w:ascii="Helvetica" w:eastAsia="Helvetica" w:hAnsi="Helvetica" w:cs="Helvetica"/>
          <w:color w:val="7F7F7F"/>
          <w:sz w:val="20"/>
          <w:szCs w:val="20"/>
        </w:rPr>
        <w:fldChar w:fldCharType="end"/>
      </w:r>
    </w:p>
    <w:p w:rsidR="00DC796F" w:rsidRPr="001842FB" w:rsidRDefault="00272ACF">
      <w:pPr>
        <w:tabs>
          <w:tab w:val="right" w:pos="8928"/>
        </w:tabs>
        <w:spacing w:after="120"/>
        <w:ind w:left="240"/>
        <w:rPr>
          <w:rFonts w:ascii="Helvetica" w:eastAsia="Helvetica" w:hAnsi="Helvetica" w:cs="Helvetica"/>
          <w:color w:val="7F7F7F"/>
          <w:sz w:val="20"/>
          <w:szCs w:val="20"/>
          <w:lang w:val="pl-PL"/>
        </w:rPr>
      </w:pPr>
      <w:r w:rsidRPr="001842FB">
        <w:rPr>
          <w:rFonts w:ascii="Helvetica" w:hAnsi="Helvetica" w:cs="Arial Unicode MS"/>
          <w:color w:val="7F7F7F"/>
          <w:sz w:val="20"/>
          <w:szCs w:val="20"/>
          <w:lang w:val="pl-PL"/>
        </w:rPr>
        <w:t>Zaliczenie</w:t>
      </w:r>
      <w:r w:rsidRPr="001842FB">
        <w:rPr>
          <w:rFonts w:ascii="Helvetica" w:hAnsi="Helvetica" w:cs="Arial Unicode MS"/>
          <w:color w:val="7F7F7F"/>
          <w:sz w:val="20"/>
          <w:szCs w:val="20"/>
          <w:lang w:val="pl-PL"/>
        </w:rPr>
        <w:tab/>
      </w:r>
      <w:r>
        <w:rPr>
          <w:rFonts w:ascii="Helvetica" w:eastAsia="Helvetica" w:hAnsi="Helvetica" w:cs="Helvetica"/>
          <w:color w:val="7F7F7F"/>
          <w:sz w:val="20"/>
          <w:szCs w:val="20"/>
        </w:rPr>
        <w:fldChar w:fldCharType="begin"/>
      </w:r>
      <w:r w:rsidRPr="001842FB">
        <w:rPr>
          <w:rFonts w:ascii="Helvetica" w:eastAsia="Helvetica" w:hAnsi="Helvetica" w:cs="Helvetica"/>
          <w:color w:val="7F7F7F"/>
          <w:sz w:val="20"/>
          <w:szCs w:val="20"/>
          <w:lang w:val="pl-PL"/>
        </w:rPr>
        <w:instrText xml:space="preserve"> PAGEREF _Toc9 \h </w:instrText>
      </w:r>
      <w:r>
        <w:rPr>
          <w:rFonts w:ascii="Helvetica" w:eastAsia="Helvetica" w:hAnsi="Helvetica" w:cs="Helvetica"/>
          <w:color w:val="7F7F7F"/>
          <w:sz w:val="20"/>
          <w:szCs w:val="20"/>
        </w:rPr>
      </w:r>
      <w:r>
        <w:rPr>
          <w:rFonts w:ascii="Helvetica" w:eastAsia="Helvetica" w:hAnsi="Helvetica" w:cs="Helvetica"/>
          <w:color w:val="7F7F7F"/>
          <w:sz w:val="20"/>
          <w:szCs w:val="20"/>
        </w:rPr>
        <w:fldChar w:fldCharType="separate"/>
      </w:r>
      <w:r w:rsidRPr="001842FB">
        <w:rPr>
          <w:rFonts w:ascii="Helvetica" w:hAnsi="Helvetica" w:cs="Arial Unicode MS"/>
          <w:color w:val="7F7F7F"/>
          <w:sz w:val="20"/>
          <w:szCs w:val="20"/>
          <w:lang w:val="pl-PL"/>
        </w:rPr>
        <w:t>4</w:t>
      </w:r>
      <w:r>
        <w:rPr>
          <w:rFonts w:ascii="Helvetica" w:eastAsia="Helvetica" w:hAnsi="Helvetica" w:cs="Helvetica"/>
          <w:color w:val="7F7F7F"/>
          <w:sz w:val="20"/>
          <w:szCs w:val="20"/>
        </w:rPr>
        <w:fldChar w:fldCharType="end"/>
      </w:r>
    </w:p>
    <w:p w:rsidR="00DC796F" w:rsidRPr="001842FB" w:rsidRDefault="00272ACF">
      <w:pPr>
        <w:tabs>
          <w:tab w:val="right" w:pos="8928"/>
        </w:tabs>
        <w:spacing w:after="120"/>
        <w:ind w:left="240"/>
        <w:rPr>
          <w:rFonts w:ascii="Helvetica" w:eastAsia="Helvetica" w:hAnsi="Helvetica" w:cs="Helvetica"/>
          <w:color w:val="7F7F7F"/>
          <w:sz w:val="20"/>
          <w:szCs w:val="20"/>
          <w:lang w:val="pl-PL"/>
        </w:rPr>
      </w:pPr>
      <w:r w:rsidRPr="001842FB">
        <w:rPr>
          <w:rFonts w:ascii="Helvetica" w:hAnsi="Helvetica" w:cs="Arial Unicode MS"/>
          <w:color w:val="7F7F7F"/>
          <w:sz w:val="20"/>
          <w:szCs w:val="20"/>
          <w:lang w:val="pl-PL"/>
        </w:rPr>
        <w:t>Akty prawne</w:t>
      </w:r>
      <w:r w:rsidRPr="001842FB">
        <w:rPr>
          <w:rFonts w:ascii="Helvetica" w:hAnsi="Helvetica" w:cs="Arial Unicode MS"/>
          <w:color w:val="7F7F7F"/>
          <w:sz w:val="20"/>
          <w:szCs w:val="20"/>
          <w:lang w:val="pl-PL"/>
        </w:rPr>
        <w:tab/>
      </w:r>
      <w:r>
        <w:rPr>
          <w:rFonts w:ascii="Helvetica" w:eastAsia="Helvetica" w:hAnsi="Helvetica" w:cs="Helvetica"/>
          <w:color w:val="7F7F7F"/>
          <w:sz w:val="20"/>
          <w:szCs w:val="20"/>
        </w:rPr>
        <w:fldChar w:fldCharType="begin"/>
      </w:r>
      <w:r w:rsidRPr="001842FB">
        <w:rPr>
          <w:rFonts w:ascii="Helvetica" w:eastAsia="Helvetica" w:hAnsi="Helvetica" w:cs="Helvetica"/>
          <w:color w:val="7F7F7F"/>
          <w:sz w:val="20"/>
          <w:szCs w:val="20"/>
          <w:lang w:val="pl-PL"/>
        </w:rPr>
        <w:instrText xml:space="preserve"> PAGEREF _Toc10 \h </w:instrText>
      </w:r>
      <w:r>
        <w:rPr>
          <w:rFonts w:ascii="Helvetica" w:eastAsia="Helvetica" w:hAnsi="Helvetica" w:cs="Helvetica"/>
          <w:color w:val="7F7F7F"/>
          <w:sz w:val="20"/>
          <w:szCs w:val="20"/>
        </w:rPr>
      </w:r>
      <w:r>
        <w:rPr>
          <w:rFonts w:ascii="Helvetica" w:eastAsia="Helvetica" w:hAnsi="Helvetica" w:cs="Helvetica"/>
          <w:color w:val="7F7F7F"/>
          <w:sz w:val="20"/>
          <w:szCs w:val="20"/>
        </w:rPr>
        <w:fldChar w:fldCharType="separate"/>
      </w:r>
      <w:r w:rsidRPr="001842FB">
        <w:rPr>
          <w:rFonts w:ascii="Helvetica" w:hAnsi="Helvetica" w:cs="Arial Unicode MS"/>
          <w:color w:val="7F7F7F"/>
          <w:sz w:val="20"/>
          <w:szCs w:val="20"/>
          <w:lang w:val="pl-PL"/>
        </w:rPr>
        <w:t>5</w:t>
      </w:r>
      <w:r>
        <w:rPr>
          <w:rFonts w:ascii="Helvetica" w:eastAsia="Helvetica" w:hAnsi="Helvetica" w:cs="Helvetica"/>
          <w:color w:val="7F7F7F"/>
          <w:sz w:val="20"/>
          <w:szCs w:val="20"/>
        </w:rPr>
        <w:fldChar w:fldCharType="end"/>
      </w:r>
    </w:p>
    <w:p w:rsidR="00DC796F" w:rsidRPr="002374C6" w:rsidRDefault="00272ACF">
      <w:pPr>
        <w:tabs>
          <w:tab w:val="right" w:pos="8928"/>
        </w:tabs>
        <w:spacing w:after="120"/>
        <w:ind w:left="240"/>
        <w:rPr>
          <w:lang w:val="pl-PL"/>
        </w:rPr>
      </w:pPr>
      <w:r>
        <w:rPr>
          <w:rFonts w:ascii="Helvetica" w:hAnsi="Helvetica" w:cs="Arial Unicode MS"/>
          <w:color w:val="7F7F7F"/>
          <w:sz w:val="20"/>
          <w:szCs w:val="20"/>
          <w:lang w:val="de-DE"/>
        </w:rPr>
        <w:t>Literatura</w:t>
      </w:r>
      <w:r>
        <w:rPr>
          <w:rFonts w:ascii="Helvetica" w:hAnsi="Helvetica" w:cs="Arial Unicode MS"/>
          <w:color w:val="7F7F7F"/>
          <w:sz w:val="20"/>
          <w:szCs w:val="20"/>
          <w:lang w:val="de-DE"/>
        </w:rPr>
        <w:tab/>
      </w:r>
      <w:r>
        <w:rPr>
          <w:rFonts w:ascii="Helvetica" w:eastAsia="Helvetica" w:hAnsi="Helvetica" w:cs="Helvetica"/>
          <w:color w:val="7F7F7F"/>
          <w:sz w:val="20"/>
          <w:szCs w:val="20"/>
        </w:rPr>
        <w:fldChar w:fldCharType="begin"/>
      </w:r>
      <w:r w:rsidRPr="002374C6">
        <w:rPr>
          <w:rFonts w:ascii="Helvetica" w:eastAsia="Helvetica" w:hAnsi="Helvetica" w:cs="Helvetica"/>
          <w:color w:val="7F7F7F"/>
          <w:sz w:val="20"/>
          <w:szCs w:val="20"/>
          <w:lang w:val="pl-PL"/>
        </w:rPr>
        <w:instrText xml:space="preserve"> PAGEREF _Toc11 \h </w:instrText>
      </w:r>
      <w:r>
        <w:rPr>
          <w:rFonts w:ascii="Helvetica" w:eastAsia="Helvetica" w:hAnsi="Helvetica" w:cs="Helvetica"/>
          <w:color w:val="7F7F7F"/>
          <w:sz w:val="20"/>
          <w:szCs w:val="20"/>
        </w:rPr>
      </w:r>
      <w:r>
        <w:rPr>
          <w:rFonts w:ascii="Helvetica" w:eastAsia="Helvetica" w:hAnsi="Helvetica" w:cs="Helvetica"/>
          <w:color w:val="7F7F7F"/>
          <w:sz w:val="20"/>
          <w:szCs w:val="20"/>
        </w:rPr>
        <w:fldChar w:fldCharType="separate"/>
      </w:r>
      <w:r w:rsidRPr="002374C6">
        <w:rPr>
          <w:rFonts w:ascii="Helvetica" w:hAnsi="Helvetica" w:cs="Arial Unicode MS"/>
          <w:color w:val="7F7F7F"/>
          <w:sz w:val="20"/>
          <w:szCs w:val="20"/>
          <w:lang w:val="pl-PL"/>
        </w:rPr>
        <w:t>5</w:t>
      </w:r>
      <w:r>
        <w:rPr>
          <w:rFonts w:ascii="Helvetica" w:eastAsia="Helvetica" w:hAnsi="Helvetica" w:cs="Helvetica"/>
          <w:color w:val="7F7F7F"/>
          <w:sz w:val="20"/>
          <w:szCs w:val="20"/>
        </w:rPr>
        <w:fldChar w:fldCharType="end"/>
      </w:r>
    </w:p>
    <w:p w:rsidR="00DC796F" w:rsidRDefault="00272ACF">
      <w:pPr>
        <w:pStyle w:val="Tre"/>
      </w:pPr>
      <w:r>
        <w:fldChar w:fldCharType="end"/>
      </w:r>
    </w:p>
    <w:p w:rsidR="00DC796F" w:rsidRDefault="00DC796F">
      <w:pPr>
        <w:pStyle w:val="Nagwek"/>
      </w:pPr>
    </w:p>
    <w:p w:rsidR="00DC796F" w:rsidRDefault="00272ACF">
      <w:pPr>
        <w:pStyle w:val="Nagwek"/>
      </w:pPr>
      <w:bookmarkStart w:id="0" w:name="_Toc"/>
      <w:r>
        <w:rPr>
          <w:rFonts w:eastAsia="Arial Unicode MS" w:cs="Arial Unicode MS"/>
        </w:rPr>
        <w:t>Wykład</w:t>
      </w:r>
      <w:bookmarkEnd w:id="0"/>
    </w:p>
    <w:p w:rsidR="00DC796F" w:rsidRDefault="00DC796F">
      <w:pPr>
        <w:pStyle w:val="Tre"/>
      </w:pPr>
    </w:p>
    <w:p w:rsidR="00DC796F" w:rsidRDefault="00272ACF">
      <w:pPr>
        <w:pStyle w:val="Nagwek2"/>
      </w:pPr>
      <w:bookmarkStart w:id="1" w:name="_Toc1"/>
      <w:r>
        <w:rPr>
          <w:rFonts w:eastAsia="Arial Unicode MS" w:cs="Arial Unicode MS"/>
        </w:rPr>
        <w:t>Prowadzący</w:t>
      </w:r>
      <w:bookmarkEnd w:id="1"/>
    </w:p>
    <w:p w:rsidR="00DC796F" w:rsidRDefault="00272ACF">
      <w:pPr>
        <w:pStyle w:val="Tre"/>
      </w:pPr>
      <w:proofErr w:type="gramStart"/>
      <w:r>
        <w:t>dr</w:t>
      </w:r>
      <w:proofErr w:type="gramEnd"/>
      <w:r>
        <w:t xml:space="preserve"> Łukasz </w:t>
      </w:r>
      <w:proofErr w:type="spellStart"/>
      <w:r>
        <w:t>Goździaszek</w:t>
      </w:r>
      <w:proofErr w:type="spellEnd"/>
    </w:p>
    <w:p w:rsidR="00DC796F" w:rsidRDefault="00DC796F">
      <w:pPr>
        <w:pStyle w:val="Tre"/>
      </w:pPr>
    </w:p>
    <w:p w:rsidR="00DC796F" w:rsidRDefault="00272ACF">
      <w:pPr>
        <w:pStyle w:val="Nagwek2"/>
      </w:pPr>
      <w:bookmarkStart w:id="2" w:name="_Toc2"/>
      <w:r>
        <w:rPr>
          <w:rFonts w:eastAsia="Arial Unicode MS" w:cs="Arial Unicode MS"/>
        </w:rPr>
        <w:t>Przedmiot wykładu</w:t>
      </w:r>
      <w:bookmarkEnd w:id="2"/>
    </w:p>
    <w:p w:rsidR="00DC796F" w:rsidRDefault="00272ACF">
      <w:pPr>
        <w:pStyle w:val="Tre"/>
      </w:pPr>
      <w:r>
        <w:t xml:space="preserve">Ochrona danych osobowych (tematy poszczególnych wykładów opracował </w:t>
      </w:r>
      <w:proofErr w:type="spellStart"/>
      <w:r>
        <w:t>Ł.Goździaszek</w:t>
      </w:r>
      <w:proofErr w:type="spellEnd"/>
      <w:r>
        <w:t>)</w:t>
      </w:r>
    </w:p>
    <w:p w:rsidR="00DC796F" w:rsidRDefault="00DC796F">
      <w:pPr>
        <w:pStyle w:val="Tre"/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641"/>
        <w:gridCol w:w="3897"/>
        <w:gridCol w:w="4094"/>
      </w:tblGrid>
      <w:tr w:rsidR="00DC796F">
        <w:trPr>
          <w:trHeight w:val="279"/>
          <w:tblHeader/>
        </w:trPr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Pr="001842FB" w:rsidRDefault="00DC796F">
            <w:pPr>
              <w:rPr>
                <w:lang w:val="pl-PL"/>
              </w:rPr>
            </w:pPr>
          </w:p>
        </w:tc>
        <w:tc>
          <w:tcPr>
            <w:tcW w:w="38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Styltabeli1"/>
            </w:pPr>
            <w:r>
              <w:rPr>
                <w:rFonts w:eastAsia="Arial Unicode MS" w:cs="Arial Unicode MS"/>
              </w:rPr>
              <w:t>SSP i SNP(w)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Styltabeli1"/>
            </w:pPr>
            <w:r>
              <w:rPr>
                <w:rFonts w:eastAsia="Arial Unicode MS" w:cs="Arial Unicode MS"/>
              </w:rPr>
              <w:t>SNP(z)</w:t>
            </w:r>
          </w:p>
        </w:tc>
      </w:tr>
      <w:tr w:rsidR="00DC796F" w:rsidRPr="008D29FC">
        <w:tblPrEx>
          <w:shd w:val="clear" w:color="auto" w:fill="auto"/>
        </w:tblPrEx>
        <w:trPr>
          <w:trHeight w:val="1208"/>
        </w:trPr>
        <w:tc>
          <w:tcPr>
            <w:tcW w:w="16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Styltabeli1"/>
            </w:pPr>
            <w:r>
              <w:rPr>
                <w:rFonts w:eastAsia="Arial Unicode MS" w:cs="Arial Unicode MS"/>
              </w:rPr>
              <w:t>Wykład nr 1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Styltabeli2"/>
            </w:pPr>
            <w:r>
              <w:rPr>
                <w:b/>
                <w:bCs/>
              </w:rPr>
              <w:t xml:space="preserve">Pojęcie danych osobowych, </w:t>
            </w:r>
            <w:proofErr w:type="spellStart"/>
            <w:r>
              <w:rPr>
                <w:b/>
                <w:bCs/>
              </w:rPr>
              <w:t>zbior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 xml:space="preserve">w danych osobowych i przetwarzania danych osobowych </w:t>
            </w:r>
            <w:r>
              <w:t>[art. 1 i 4 rozporządzenia 2016/679 oraz art. 1 i 6-7 ustawy o ochronie danych osobowych]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Styltabeli2"/>
            </w:pPr>
            <w:r>
              <w:rPr>
                <w:b/>
                <w:bCs/>
              </w:rPr>
              <w:t xml:space="preserve">Pojęcie danych osobowych, </w:t>
            </w:r>
            <w:proofErr w:type="spellStart"/>
            <w:r>
              <w:rPr>
                <w:b/>
                <w:bCs/>
              </w:rPr>
              <w:t>zbior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 xml:space="preserve">w danych osobowych i przetwarzania danych osobowych </w:t>
            </w:r>
            <w:r>
              <w:t>[art. 1 i 4 rozporządzenia 2016/679 oraz art. 1 i 6-7 ustawy o ochronie danych osobowych]</w:t>
            </w:r>
          </w:p>
        </w:tc>
      </w:tr>
      <w:tr w:rsidR="00DC796F" w:rsidRPr="008D29FC">
        <w:tblPrEx>
          <w:shd w:val="clear" w:color="auto" w:fill="auto"/>
        </w:tblPrEx>
        <w:trPr>
          <w:trHeight w:val="1205"/>
        </w:trPr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Styltabeli1"/>
            </w:pPr>
            <w:r>
              <w:rPr>
                <w:rFonts w:eastAsia="Arial Unicode MS" w:cs="Arial Unicode MS"/>
              </w:rPr>
              <w:t>Wykład nr 2</w:t>
            </w:r>
          </w:p>
        </w:tc>
        <w:tc>
          <w:tcPr>
            <w:tcW w:w="38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Styltabeli2"/>
            </w:pPr>
            <w:r>
              <w:rPr>
                <w:b/>
                <w:bCs/>
              </w:rPr>
              <w:t>Podstawy przetwarzania danych osobowych (zgodność przetwarzania z prawem)</w:t>
            </w:r>
            <w:r>
              <w:rPr>
                <w:lang w:val="pt-PT"/>
              </w:rPr>
              <w:t xml:space="preserve"> [art. </w:t>
            </w:r>
            <w:r>
              <w:t>5-11 rozporządzenia 2016/679 oraz art. 23 i 26-27 ustawy o ochronie danych osobowych]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Styltabeli2"/>
            </w:pPr>
            <w:r>
              <w:rPr>
                <w:b/>
                <w:bCs/>
              </w:rPr>
              <w:t>Podstawy przetwarzania danych osobowych (zgodność przetwarzania z prawem)</w:t>
            </w:r>
            <w:r>
              <w:rPr>
                <w:lang w:val="pt-PT"/>
              </w:rPr>
              <w:t xml:space="preserve"> [art. </w:t>
            </w:r>
            <w:r>
              <w:t>5-11 rozporządzenia 2016/679 oraz art. 23 i 26-27 ustawy o ochronie danych osobowych]</w:t>
            </w:r>
          </w:p>
        </w:tc>
      </w:tr>
      <w:tr w:rsidR="00DC796F" w:rsidRPr="008D29FC">
        <w:tblPrEx>
          <w:shd w:val="clear" w:color="auto" w:fill="auto"/>
        </w:tblPrEx>
        <w:trPr>
          <w:trHeight w:val="2405"/>
        </w:trPr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Styltabeli1"/>
            </w:pPr>
            <w:r>
              <w:rPr>
                <w:rFonts w:eastAsia="Arial Unicode MS" w:cs="Arial Unicode MS"/>
              </w:rPr>
              <w:lastRenderedPageBreak/>
              <w:t>Wykład nr 3</w:t>
            </w:r>
          </w:p>
        </w:tc>
        <w:tc>
          <w:tcPr>
            <w:tcW w:w="38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Styltabeli2"/>
            </w:pPr>
            <w:r>
              <w:rPr>
                <w:b/>
                <w:bCs/>
              </w:rPr>
              <w:t>Zakres podmiotowy, przedmiotowy i terytorialny akt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 xml:space="preserve">w prawnych związanych z ochroną danych osobowych </w:t>
            </w:r>
            <w:r>
              <w:t>[art. 2, 3, 4, 23 i 85-91 rozporządzenia 2016/679 oraz art. 2-5 i 28 ustawy o ochronie danych osobowych]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Styltabeli2"/>
            </w:pPr>
            <w:r>
              <w:rPr>
                <w:b/>
                <w:bCs/>
              </w:rPr>
              <w:t>Zakres podmiotowy, przedmiotowy i terytorialny akt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 xml:space="preserve">w prawnych związanych z ochroną danych osobowych </w:t>
            </w:r>
            <w:r>
              <w:t xml:space="preserve">[art. 2, 3, 4, 23 i 85-91 rozporządzenia 2016/679 oraz art. 2-5 i 28 ustawy o ochronie danych osobowych]. </w:t>
            </w:r>
            <w:r>
              <w:rPr>
                <w:b/>
                <w:bCs/>
              </w:rPr>
              <w:t xml:space="preserve">Przetwarzanie danych osobowych </w:t>
            </w:r>
            <w:r>
              <w:t>[art. 5, 22, 24-29, 31-34 i 37-43 rozporządzenia 2016/679 oraz art. 24-26a, 31-31a, 36-39a i 49-54a ustawy o ochronie danych osobowych]</w:t>
            </w:r>
          </w:p>
        </w:tc>
      </w:tr>
      <w:tr w:rsidR="00DC796F" w:rsidRPr="008D29FC">
        <w:tblPrEx>
          <w:shd w:val="clear" w:color="auto" w:fill="auto"/>
        </w:tblPrEx>
        <w:trPr>
          <w:trHeight w:val="1205"/>
        </w:trPr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Styltabeli1"/>
            </w:pPr>
            <w:r>
              <w:rPr>
                <w:rFonts w:eastAsia="Arial Unicode MS" w:cs="Arial Unicode MS"/>
              </w:rPr>
              <w:t>Wykład nr 4</w:t>
            </w:r>
          </w:p>
        </w:tc>
        <w:tc>
          <w:tcPr>
            <w:tcW w:w="38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Styltabeli2"/>
            </w:pPr>
            <w:r>
              <w:rPr>
                <w:b/>
                <w:bCs/>
              </w:rPr>
              <w:t xml:space="preserve">Przetwarzanie danych osobowych </w:t>
            </w:r>
            <w:r>
              <w:t>[art. 5, 22, 24-29, 31-34 i 37-43 rozporządzenia 2016/679 oraz art. 24-26a, 31-31a, 36-39a i 49-54a ustawy o ochronie danych osobowych]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Styltabeli2"/>
            </w:pPr>
            <w:r>
              <w:rPr>
                <w:b/>
                <w:bCs/>
              </w:rPr>
              <w:t xml:space="preserve">Prawa osoby, </w:t>
            </w:r>
            <w:proofErr w:type="spellStart"/>
            <w:r>
              <w:rPr>
                <w:b/>
                <w:bCs/>
              </w:rPr>
              <w:t>kt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rej dotyczą dane osobowe</w:t>
            </w:r>
            <w:r>
              <w:rPr>
                <w:lang w:val="pt-PT"/>
              </w:rPr>
              <w:t xml:space="preserve"> [art. 12-2</w:t>
            </w:r>
            <w:r>
              <w:t>1 i 77-84 rozporządzenia 2016/679 oraz art. 32-35 ustawy o ochronie danych osobowych]</w:t>
            </w:r>
          </w:p>
        </w:tc>
      </w:tr>
      <w:tr w:rsidR="00DC796F" w:rsidRPr="008D29FC">
        <w:tblPrEx>
          <w:shd w:val="clear" w:color="auto" w:fill="auto"/>
        </w:tblPrEx>
        <w:trPr>
          <w:trHeight w:val="2165"/>
        </w:trPr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Styltabeli1"/>
            </w:pPr>
            <w:r>
              <w:rPr>
                <w:rFonts w:eastAsia="Arial Unicode MS" w:cs="Arial Unicode MS"/>
              </w:rPr>
              <w:t>Wykład nr 5</w:t>
            </w:r>
          </w:p>
        </w:tc>
        <w:tc>
          <w:tcPr>
            <w:tcW w:w="38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Styltabeli2"/>
            </w:pPr>
            <w:r>
              <w:rPr>
                <w:b/>
                <w:bCs/>
              </w:rPr>
              <w:t xml:space="preserve">Obowiązki rejestracyjne i konsultacyjne </w:t>
            </w:r>
            <w:r>
              <w:t>[art. 30 i 35-36 rozporządzenia 2016/679 oraz art. 40-46f ustawy o ochronie danych osobowych]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Styltabeli2"/>
            </w:pPr>
            <w:r>
              <w:rPr>
                <w:b/>
                <w:bCs/>
              </w:rPr>
              <w:t xml:space="preserve">Obowiązki rejestracyjne i konsultacyjne </w:t>
            </w:r>
            <w:r>
              <w:t xml:space="preserve">[art. 30 i 35-36 rozporządzenia 2016/679 oraz art. 40-46f ustawy o ochronie danych osobowych]. </w:t>
            </w:r>
            <w:r>
              <w:rPr>
                <w:b/>
                <w:bCs/>
              </w:rPr>
              <w:t>Przekazywanie danych do państw trzecich. Kodeksy postępowania i certyfikacja. Organy nadzorcze</w:t>
            </w:r>
            <w:r>
              <w:rPr>
                <w:lang w:val="pt-PT"/>
              </w:rPr>
              <w:t xml:space="preserve"> [</w:t>
            </w:r>
            <w:r>
              <w:t>art. 40-76 rozporządzenia 2016/679 oraz art. 8-22a i 47-48 ustawy o ochronie danych osobowych]</w:t>
            </w:r>
          </w:p>
        </w:tc>
      </w:tr>
      <w:tr w:rsidR="00DC796F">
        <w:tblPrEx>
          <w:shd w:val="clear" w:color="auto" w:fill="auto"/>
        </w:tblPrEx>
        <w:trPr>
          <w:trHeight w:val="965"/>
        </w:trPr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Styltabeli1"/>
            </w:pPr>
            <w:r>
              <w:rPr>
                <w:rFonts w:eastAsia="Arial Unicode MS" w:cs="Arial Unicode MS"/>
              </w:rPr>
              <w:t>Wykład nr 6</w:t>
            </w:r>
          </w:p>
        </w:tc>
        <w:tc>
          <w:tcPr>
            <w:tcW w:w="38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Styltabeli2"/>
            </w:pPr>
            <w:r>
              <w:rPr>
                <w:b/>
                <w:bCs/>
              </w:rPr>
              <w:t xml:space="preserve">Prawa osoby, </w:t>
            </w:r>
            <w:proofErr w:type="spellStart"/>
            <w:r>
              <w:rPr>
                <w:b/>
                <w:bCs/>
              </w:rPr>
              <w:t>kt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rej dotyczą dane osobowe</w:t>
            </w:r>
            <w:r>
              <w:rPr>
                <w:lang w:val="pt-PT"/>
              </w:rPr>
              <w:t xml:space="preserve"> [art. 12-2</w:t>
            </w:r>
            <w:r>
              <w:t>1 i 77-84 rozporządzenia 2016/679 oraz art. 32-35 ustawy o ochronie danych osobowych]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Styltabeli2"/>
            </w:pPr>
            <w:r>
              <w:t>——————</w:t>
            </w:r>
          </w:p>
        </w:tc>
      </w:tr>
      <w:tr w:rsidR="00DC796F">
        <w:tblPrEx>
          <w:shd w:val="clear" w:color="auto" w:fill="auto"/>
        </w:tblPrEx>
        <w:trPr>
          <w:trHeight w:val="1448"/>
        </w:trPr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Styltabeli1"/>
            </w:pPr>
            <w:r>
              <w:rPr>
                <w:rFonts w:eastAsia="Arial Unicode MS" w:cs="Arial Unicode MS"/>
              </w:rPr>
              <w:t>Wykład nr 7</w:t>
            </w:r>
          </w:p>
        </w:tc>
        <w:tc>
          <w:tcPr>
            <w:tcW w:w="389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Styltabeli2"/>
            </w:pPr>
            <w:r>
              <w:rPr>
                <w:b/>
                <w:bCs/>
              </w:rPr>
              <w:t>Przekazywanie danych do państw trzecich. Kodeksy postępowania i certyfikacja. Organy nadzorcze</w:t>
            </w:r>
            <w:r>
              <w:rPr>
                <w:lang w:val="pt-PT"/>
              </w:rPr>
              <w:t xml:space="preserve"> [</w:t>
            </w:r>
            <w:r>
              <w:t>art. 40-76 rozporządzenia 2016/679 oraz art. 8-22a i 47-48 ustawy o ochronie danych osobowych]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Styltabeli2"/>
            </w:pPr>
            <w:r>
              <w:t>——————</w:t>
            </w:r>
          </w:p>
        </w:tc>
      </w:tr>
      <w:tr w:rsidR="00DC796F">
        <w:tblPrEx>
          <w:shd w:val="clear" w:color="auto" w:fill="auto"/>
        </w:tblPrEx>
        <w:trPr>
          <w:trHeight w:val="279"/>
        </w:trPr>
        <w:tc>
          <w:tcPr>
            <w:tcW w:w="16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DC796F"/>
        </w:tc>
        <w:tc>
          <w:tcPr>
            <w:tcW w:w="38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Styltabeli1"/>
            </w:pPr>
            <w:r>
              <w:rPr>
                <w:rFonts w:eastAsia="Arial Unicode MS" w:cs="Arial Unicode MS"/>
              </w:rPr>
              <w:t>14 godzin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Styltabeli1"/>
            </w:pPr>
            <w:r>
              <w:rPr>
                <w:rFonts w:eastAsia="Arial Unicode MS" w:cs="Arial Unicode MS"/>
              </w:rPr>
              <w:t>10 godzin</w:t>
            </w:r>
          </w:p>
        </w:tc>
      </w:tr>
    </w:tbl>
    <w:p w:rsidR="00DC796F" w:rsidRDefault="00DC796F">
      <w:pPr>
        <w:pStyle w:val="Tre"/>
      </w:pPr>
    </w:p>
    <w:p w:rsidR="00DC796F" w:rsidRDefault="00DC796F">
      <w:pPr>
        <w:pStyle w:val="Tre"/>
      </w:pPr>
    </w:p>
    <w:p w:rsidR="00DC796F" w:rsidRDefault="00272ACF">
      <w:pPr>
        <w:pStyle w:val="Nagwek2"/>
      </w:pPr>
      <w:bookmarkStart w:id="3" w:name="_Toc3"/>
      <w:r>
        <w:rPr>
          <w:rFonts w:eastAsia="Arial Unicode MS" w:cs="Arial Unicode MS"/>
        </w:rPr>
        <w:t>Egzamin</w:t>
      </w:r>
      <w:bookmarkEnd w:id="3"/>
    </w:p>
    <w:p w:rsidR="00DC796F" w:rsidRDefault="00272ACF">
      <w:pPr>
        <w:pStyle w:val="Tre"/>
      </w:pPr>
      <w:r>
        <w:t xml:space="preserve">Egzamin ustny. </w:t>
      </w:r>
    </w:p>
    <w:p w:rsidR="00DC796F" w:rsidRDefault="00272ACF">
      <w:pPr>
        <w:pStyle w:val="Tre"/>
      </w:pPr>
      <w:r>
        <w:t xml:space="preserve">Terminy egzaminu przedterminowego określi prowadzący. </w:t>
      </w:r>
    </w:p>
    <w:p w:rsidR="00DC796F" w:rsidRDefault="00272ACF">
      <w:pPr>
        <w:pStyle w:val="Tre"/>
      </w:pPr>
      <w:r>
        <w:t>Egzamin obejmował będzie trzy zagadnienia: 1) Ochrona danych osobowych, 2) Dostęp do informacji publicznej, 3) Dostęp do informacji publicznej w kontekście ochrony danych osobowych</w:t>
      </w:r>
    </w:p>
    <w:p w:rsidR="00DC796F" w:rsidRDefault="00DC796F">
      <w:pPr>
        <w:pStyle w:val="Tre"/>
      </w:pPr>
    </w:p>
    <w:p w:rsidR="00DC796F" w:rsidRDefault="00272ACF">
      <w:pPr>
        <w:pStyle w:val="Nagwek2"/>
      </w:pPr>
      <w:bookmarkStart w:id="4" w:name="_Toc4"/>
      <w:r>
        <w:rPr>
          <w:rFonts w:eastAsia="Arial Unicode MS" w:cs="Arial Unicode MS"/>
        </w:rPr>
        <w:t xml:space="preserve">Akty prawne </w:t>
      </w:r>
      <w:bookmarkEnd w:id="4"/>
    </w:p>
    <w:p w:rsidR="00DC796F" w:rsidRDefault="00272ACF">
      <w:pPr>
        <w:pStyle w:val="Tre"/>
      </w:pPr>
      <w:r>
        <w:rPr>
          <w:b/>
          <w:bCs/>
        </w:rPr>
        <w:t>(dotyczące ochrony danych osobowych)</w:t>
      </w:r>
    </w:p>
    <w:p w:rsidR="00DC796F" w:rsidRDefault="00272ACF">
      <w:pPr>
        <w:pStyle w:val="Tre"/>
        <w:numPr>
          <w:ilvl w:val="0"/>
          <w:numId w:val="2"/>
        </w:numPr>
      </w:pPr>
      <w:r>
        <w:t>Ustawa o ochronie danych osobowych</w:t>
      </w:r>
    </w:p>
    <w:p w:rsidR="00DC796F" w:rsidRDefault="00272ACF">
      <w:pPr>
        <w:pStyle w:val="Tre"/>
        <w:numPr>
          <w:ilvl w:val="0"/>
          <w:numId w:val="2"/>
        </w:numPr>
      </w:pPr>
      <w:r>
        <w:t>Rozporządzenie UE 2016/679</w:t>
      </w:r>
    </w:p>
    <w:p w:rsidR="00DC796F" w:rsidRDefault="00DC796F">
      <w:pPr>
        <w:pStyle w:val="Tre"/>
      </w:pPr>
    </w:p>
    <w:p w:rsidR="00DC796F" w:rsidRDefault="00272ACF">
      <w:pPr>
        <w:pStyle w:val="Nagwek2"/>
      </w:pPr>
      <w:bookmarkStart w:id="5" w:name="_Toc5"/>
      <w:r>
        <w:rPr>
          <w:rFonts w:eastAsia="Arial Unicode MS" w:cs="Arial Unicode MS"/>
        </w:rPr>
        <w:t>Literatura</w:t>
      </w:r>
      <w:bookmarkEnd w:id="5"/>
    </w:p>
    <w:p w:rsidR="00DC796F" w:rsidRDefault="00272ACF">
      <w:pPr>
        <w:pStyle w:val="Tre"/>
        <w:numPr>
          <w:ilvl w:val="0"/>
          <w:numId w:val="3"/>
        </w:numPr>
      </w:pPr>
      <w:r>
        <w:t>P. Barta, P. Litwiński, Ustawa o ochronie danych osobowych. Komentarz, Warszawa 2016</w:t>
      </w:r>
    </w:p>
    <w:p w:rsidR="00DC796F" w:rsidRDefault="00272ACF">
      <w:pPr>
        <w:pStyle w:val="Tre"/>
        <w:numPr>
          <w:ilvl w:val="0"/>
          <w:numId w:val="2"/>
        </w:numPr>
      </w:pPr>
      <w:r>
        <w:t xml:space="preserve">A. Balicki, P. Barta, M. Byczkowski, M. </w:t>
      </w:r>
      <w:proofErr w:type="spellStart"/>
      <w:r>
        <w:t>Gumularz</w:t>
      </w:r>
      <w:proofErr w:type="spellEnd"/>
      <w:r>
        <w:t xml:space="preserve">, M. Jurczyk, K. Kędzierska, P. Kowalik, K. Kozieł, P. Litwiński, J. Sobczak, A. Stępień, D. </w:t>
      </w:r>
      <w:proofErr w:type="spellStart"/>
      <w:r>
        <w:t>Wociór</w:t>
      </w:r>
      <w:proofErr w:type="spellEnd"/>
      <w:r>
        <w:t>, Ochrona danych osobowych w sektorze publicznym z uwzględnieniem ogólnego rozporządzenia unijnego, Warszawa 2016</w:t>
      </w:r>
    </w:p>
    <w:p w:rsidR="00DC796F" w:rsidRDefault="00272ACF">
      <w:pPr>
        <w:pStyle w:val="Tre"/>
        <w:numPr>
          <w:ilvl w:val="0"/>
          <w:numId w:val="2"/>
        </w:numPr>
      </w:pPr>
      <w:r>
        <w:t xml:space="preserve">J. Barta, P. </w:t>
      </w:r>
      <w:proofErr w:type="spellStart"/>
      <w:r>
        <w:t>Fajgielski</w:t>
      </w:r>
      <w:proofErr w:type="spellEnd"/>
      <w:r>
        <w:t>, R. Markiewicz, Ustawa o ochronie danych osobowych. Komentarz, Warszawa 2015</w:t>
      </w:r>
    </w:p>
    <w:p w:rsidR="00DC796F" w:rsidRDefault="00272ACF">
      <w:pPr>
        <w:pStyle w:val="Tre"/>
        <w:numPr>
          <w:ilvl w:val="0"/>
          <w:numId w:val="2"/>
        </w:numPr>
      </w:pPr>
      <w:r>
        <w:lastRenderedPageBreak/>
        <w:t>E. Bielak-</w:t>
      </w:r>
      <w:proofErr w:type="spellStart"/>
      <w:r>
        <w:t>Jomaa</w:t>
      </w:r>
      <w:proofErr w:type="spellEnd"/>
      <w:r>
        <w:t>, D. Lubasz (red.), Polska i europejska reforma ochrony danych osobowych, Warszawa 2016</w:t>
      </w:r>
    </w:p>
    <w:p w:rsidR="00DC796F" w:rsidRDefault="00DC796F">
      <w:pPr>
        <w:pStyle w:val="Tre"/>
      </w:pPr>
    </w:p>
    <w:p w:rsidR="00DC796F" w:rsidRDefault="00272ACF">
      <w:pPr>
        <w:pStyle w:val="Nagwek"/>
      </w:pPr>
      <w:bookmarkStart w:id="6" w:name="_Toc6"/>
      <w:r>
        <w:rPr>
          <w:rFonts w:eastAsia="Arial Unicode MS" w:cs="Arial Unicode MS"/>
        </w:rPr>
        <w:t>Ćwiczenia</w:t>
      </w:r>
      <w:bookmarkEnd w:id="6"/>
    </w:p>
    <w:p w:rsidR="00DC796F" w:rsidRDefault="00DC796F">
      <w:pPr>
        <w:pStyle w:val="Tre"/>
      </w:pPr>
    </w:p>
    <w:p w:rsidR="00DC796F" w:rsidRDefault="00272ACF">
      <w:pPr>
        <w:pStyle w:val="Nagwek2"/>
      </w:pPr>
      <w:bookmarkStart w:id="7" w:name="_Toc7"/>
      <w:r>
        <w:rPr>
          <w:rFonts w:eastAsia="Arial Unicode MS" w:cs="Arial Unicode MS"/>
        </w:rPr>
        <w:t>Prowadzący</w:t>
      </w:r>
      <w:bookmarkEnd w:id="7"/>
    </w:p>
    <w:p w:rsidR="00DC796F" w:rsidRDefault="00272ACF">
      <w:pPr>
        <w:pStyle w:val="Tre"/>
      </w:pPr>
      <w:proofErr w:type="gramStart"/>
      <w:r>
        <w:t>dr</w:t>
      </w:r>
      <w:proofErr w:type="gramEnd"/>
      <w:r>
        <w:t xml:space="preserve"> Katarzyna Tomaszewska</w:t>
      </w:r>
    </w:p>
    <w:p w:rsidR="00DC796F" w:rsidRDefault="00DC796F">
      <w:pPr>
        <w:pStyle w:val="Tre"/>
      </w:pPr>
    </w:p>
    <w:p w:rsidR="00DC796F" w:rsidRDefault="00272ACF">
      <w:pPr>
        <w:pStyle w:val="Nagwek2"/>
      </w:pPr>
      <w:bookmarkStart w:id="8" w:name="_Toc8"/>
      <w:r>
        <w:rPr>
          <w:rFonts w:eastAsia="Arial Unicode MS" w:cs="Arial Unicode MS"/>
        </w:rPr>
        <w:t>Przedmiot ćwiczeń</w:t>
      </w:r>
      <w:bookmarkEnd w:id="8"/>
    </w:p>
    <w:p w:rsidR="00DC796F" w:rsidRDefault="00272ACF">
      <w:pPr>
        <w:pStyle w:val="Tre"/>
      </w:pPr>
      <w:r>
        <w:t xml:space="preserve">Dostęp do informacji publicznej (tematy </w:t>
      </w:r>
      <w:proofErr w:type="spellStart"/>
      <w:r>
        <w:t>poszczeg</w:t>
      </w:r>
      <w:proofErr w:type="spellEnd"/>
      <w:r>
        <w:rPr>
          <w:lang w:val="es-ES_tradnl"/>
        </w:rPr>
        <w:t>ó</w:t>
      </w:r>
      <w:proofErr w:type="spellStart"/>
      <w:r>
        <w:t>lnych</w:t>
      </w:r>
      <w:proofErr w:type="spellEnd"/>
      <w:r>
        <w:t xml:space="preserve"> ćwiczeń opracowała </w:t>
      </w:r>
      <w:proofErr w:type="spellStart"/>
      <w:r>
        <w:t>K.Tomaszewska</w:t>
      </w:r>
      <w:proofErr w:type="spellEnd"/>
      <w:r>
        <w:t>)</w:t>
      </w:r>
    </w:p>
    <w:p w:rsidR="00DC796F" w:rsidRDefault="00DC796F">
      <w:pPr>
        <w:pStyle w:val="Tre"/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716"/>
        <w:gridCol w:w="2655"/>
        <w:gridCol w:w="2606"/>
        <w:gridCol w:w="2655"/>
      </w:tblGrid>
      <w:tr w:rsidR="00DC796F">
        <w:trPr>
          <w:trHeight w:val="279"/>
          <w:tblHeader/>
        </w:trPr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Pr="001842FB" w:rsidRDefault="00DC796F">
            <w:pPr>
              <w:rPr>
                <w:lang w:val="pl-P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Styltabeli1"/>
            </w:pPr>
            <w:r>
              <w:rPr>
                <w:rFonts w:eastAsia="Arial Unicode MS" w:cs="Arial Unicode MS"/>
              </w:rPr>
              <w:t>SSP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Styltabeli1"/>
            </w:pPr>
            <w:r>
              <w:rPr>
                <w:rFonts w:eastAsia="Arial Unicode MS" w:cs="Arial Unicode MS"/>
              </w:rPr>
              <w:t>SNP(w)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Styltabeli1"/>
            </w:pPr>
            <w:r>
              <w:rPr>
                <w:rFonts w:eastAsia="Arial Unicode MS" w:cs="Arial Unicode MS"/>
              </w:rPr>
              <w:t>SNP(z)</w:t>
            </w:r>
          </w:p>
        </w:tc>
      </w:tr>
      <w:tr w:rsidR="00DC796F" w:rsidRPr="008D29FC">
        <w:tblPrEx>
          <w:shd w:val="clear" w:color="auto" w:fill="auto"/>
        </w:tblPrEx>
        <w:trPr>
          <w:trHeight w:val="488"/>
        </w:trPr>
        <w:tc>
          <w:tcPr>
            <w:tcW w:w="17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Styltabeli1"/>
            </w:pPr>
            <w:r>
              <w:rPr>
                <w:rFonts w:eastAsia="Arial Unicode MS" w:cs="Arial Unicode MS"/>
              </w:rPr>
              <w:t>Ćwiczenia nr 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Tre"/>
            </w:pPr>
            <w:r>
              <w:t>Zajęcia organizacyjne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Tre"/>
            </w:pPr>
            <w:r>
              <w:t>Znaczenie dostępu do informacji publicznej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Tre"/>
            </w:pPr>
            <w:r>
              <w:t>Znaczenie dostępu do informacji publicznej</w:t>
            </w:r>
          </w:p>
        </w:tc>
      </w:tr>
      <w:tr w:rsidR="00DC796F" w:rsidRPr="008D29FC">
        <w:tblPrEx>
          <w:shd w:val="clear" w:color="auto" w:fill="auto"/>
        </w:tblPrEx>
        <w:trPr>
          <w:trHeight w:val="965"/>
        </w:trPr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Styltabeli1"/>
            </w:pPr>
            <w:r>
              <w:rPr>
                <w:rFonts w:eastAsia="Arial Unicode MS" w:cs="Arial Unicode MS"/>
              </w:rPr>
              <w:t>Ćwiczenia nr 2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Tre"/>
            </w:pPr>
            <w:r>
              <w:t>Znaczenie dostępu do informacji publicznej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Tre"/>
            </w:pPr>
            <w:r>
              <w:t>Prawne podstawy informowania jednostki w demokratycznym państwie prawa</w:t>
            </w:r>
            <w:r w:rsidR="00774569">
              <w:t xml:space="preserve"> (</w:t>
            </w:r>
            <w:r w:rsidR="00774569" w:rsidRPr="00774569">
              <w:t>art. 61, art. 54, 74 Konstytucji RP)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Tre"/>
            </w:pPr>
            <w:r>
              <w:t>Prawne podstawy informowania jednostki w demokratycznym państwie prawa</w:t>
            </w:r>
            <w:r w:rsidR="00774569">
              <w:t xml:space="preserve"> (</w:t>
            </w:r>
            <w:r w:rsidR="00774569" w:rsidRPr="00774569">
              <w:t>art. 61, art. 54, 74 Konstytucji RP)</w:t>
            </w:r>
          </w:p>
        </w:tc>
      </w:tr>
      <w:tr w:rsidR="00DC796F" w:rsidRPr="008D29FC">
        <w:tblPrEx>
          <w:shd w:val="clear" w:color="auto" w:fill="auto"/>
        </w:tblPrEx>
        <w:trPr>
          <w:trHeight w:val="1445"/>
        </w:trPr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Styltabeli1"/>
            </w:pPr>
            <w:r>
              <w:rPr>
                <w:rFonts w:eastAsia="Arial Unicode MS" w:cs="Arial Unicode MS"/>
              </w:rPr>
              <w:t>Ćwiczenia nr 3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Tre"/>
            </w:pPr>
            <w:r>
              <w:t>Prawne podstawy informowania jednostki w demokratycznym państwie prawa</w:t>
            </w:r>
            <w:r w:rsidR="002374C6">
              <w:t xml:space="preserve"> (art. 61, art. 54, 74 Konstytucji RP)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Tre"/>
            </w:pPr>
            <w:r>
              <w:t>Pojęcie sprawy publicznej, pojęcie informacji publicznej, pojęcie dostępu do informacji publicznej. Zasady udostępniania informacji publicznej</w:t>
            </w:r>
            <w:r w:rsidR="00774569">
              <w:t xml:space="preserve"> </w:t>
            </w:r>
            <w:r w:rsidR="00774569" w:rsidRPr="00774569">
              <w:t xml:space="preserve">(zasada bezpłatności, powszechność podmiotowej, przedmiotowej, zasada równego dostępu, zasada alternatywności, </w:t>
            </w:r>
            <w:r w:rsidR="003313FB">
              <w:t xml:space="preserve">zasada kontroli instancyjnej, </w:t>
            </w:r>
            <w:r w:rsidR="00774569" w:rsidRPr="00774569">
              <w:t>zasada sądowej kontroli, zasada pierwszeństwa trybu bezwnioskowego, zasada osobistej odpowiedzialności)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Tre"/>
            </w:pPr>
            <w:r>
              <w:t>Pojęcie sprawy publicznej, pojęcie informacji publicznej, pojęcie dostępu do informacji publicznej. Zasady udostępniania informacji publicznej</w:t>
            </w:r>
            <w:r w:rsidR="00774569">
              <w:t xml:space="preserve"> </w:t>
            </w:r>
            <w:r w:rsidR="00774569" w:rsidRPr="00774569">
              <w:t xml:space="preserve">(zasada bezpłatności, powszechność podmiotowej, przedmiotowej, zasada równego dostępu, zasada alternatywności, </w:t>
            </w:r>
            <w:r w:rsidR="003313FB">
              <w:t xml:space="preserve">zasada kontroli instancyjnej, </w:t>
            </w:r>
            <w:r w:rsidR="00774569" w:rsidRPr="00774569">
              <w:t>zasada sądowej kontroli, zasada pierwszeństwa trybu bezwnioskowego, zasada osobistej odpowiedzialności)</w:t>
            </w:r>
          </w:p>
        </w:tc>
      </w:tr>
      <w:tr w:rsidR="00DC796F" w:rsidRPr="008D29FC">
        <w:tblPrEx>
          <w:shd w:val="clear" w:color="auto" w:fill="auto"/>
        </w:tblPrEx>
        <w:trPr>
          <w:trHeight w:val="1445"/>
        </w:trPr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Styltabeli1"/>
            </w:pPr>
            <w:r>
              <w:rPr>
                <w:rFonts w:eastAsia="Arial Unicode MS" w:cs="Arial Unicode MS"/>
              </w:rPr>
              <w:t>Ćwiczenia nr 4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 w:rsidP="003313FB">
            <w:pPr>
              <w:pStyle w:val="Tre"/>
            </w:pPr>
            <w:r>
              <w:t>Pojęcie sprawy publicznej, pojęcie informacji publicznej, pojęcie dostępu do informacji publicznej. Zasady udostępniania informacji publicznej</w:t>
            </w:r>
            <w:r w:rsidR="00774569">
              <w:t xml:space="preserve"> (zasada bezpłatności, powszechność podmiotowej, przedmiotowej, zasada równego dostępu, zasada alternatywności, </w:t>
            </w:r>
            <w:r w:rsidR="003313FB">
              <w:t xml:space="preserve">zasada kontroli instancyjnej, </w:t>
            </w:r>
            <w:r w:rsidR="00774569">
              <w:t>zasada sądowej kontroli</w:t>
            </w:r>
            <w:r w:rsidR="003313FB">
              <w:t xml:space="preserve"> (</w:t>
            </w:r>
            <w:r w:rsidR="00774569">
              <w:t xml:space="preserve">pierwszeństwa trybu bezwnioskowego, zasada osobistej odpowiedzialności) 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Tre"/>
            </w:pPr>
            <w:r>
              <w:t>Określenie zakresu podmiotów zobowiązanych informacyjnie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Tre"/>
            </w:pPr>
            <w:r>
              <w:t>Określenie zakresu podmiotów zobowiązanych informacyjnie</w:t>
            </w:r>
          </w:p>
        </w:tc>
      </w:tr>
      <w:tr w:rsidR="00DC796F" w:rsidRPr="008D29FC">
        <w:tblPrEx>
          <w:shd w:val="clear" w:color="auto" w:fill="auto"/>
        </w:tblPrEx>
        <w:trPr>
          <w:trHeight w:val="965"/>
        </w:trPr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Styltabeli1"/>
            </w:pPr>
            <w:r>
              <w:rPr>
                <w:rFonts w:eastAsia="Arial Unicode MS" w:cs="Arial Unicode MS"/>
              </w:rPr>
              <w:lastRenderedPageBreak/>
              <w:t>Ćwiczenia nr 5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Tre"/>
            </w:pPr>
            <w:r>
              <w:t>Określenie zakresu podmiotów zobowiązanych informacyjnie</w:t>
            </w:r>
            <w:r w:rsidR="00774569">
              <w:t xml:space="preserve"> 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Tre"/>
            </w:pPr>
            <w:r>
              <w:t>Określenie zakresu podmiotów legitymowanych informacyjnie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Tre"/>
            </w:pPr>
            <w:r>
              <w:t>Określenie zakresu podmiotów legitymowanych informacyjnie</w:t>
            </w:r>
          </w:p>
        </w:tc>
      </w:tr>
      <w:tr w:rsidR="00DC796F" w:rsidRPr="008D29FC">
        <w:tblPrEx>
          <w:shd w:val="clear" w:color="auto" w:fill="auto"/>
        </w:tblPrEx>
        <w:trPr>
          <w:trHeight w:val="2405"/>
        </w:trPr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Styltabeli1"/>
            </w:pPr>
            <w:r>
              <w:rPr>
                <w:rFonts w:eastAsia="Arial Unicode MS" w:cs="Arial Unicode MS"/>
              </w:rPr>
              <w:t>Ćwiczenia nr 6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Tre"/>
            </w:pPr>
            <w:r>
              <w:t>Określenie zakresu podmiotów legitymowanych informacyjnie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Tre"/>
            </w:pPr>
            <w:r>
              <w:t>Określenie zakresu dopuszczalnych form udostępniania wiedzy publicznej w świetle uregulowań ogólnych - ustawy z dnia 6 września 2001 r. o dostępie do informacji publicznej (tryb wnioskowy, tryby bezwnioskowe)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Tre"/>
            </w:pPr>
            <w:r>
              <w:t>Określenie zakresu dopuszczalnych form udostępniania wiedzy publicznej w świetle uregulowań ogólnych - ustawy z dnia 6 września 2001 r. o dostępie do informacji publicznej (tryb wnioskowy, tryby bezwnioskowe)</w:t>
            </w:r>
          </w:p>
        </w:tc>
      </w:tr>
      <w:tr w:rsidR="00DC796F" w:rsidRPr="008D29FC">
        <w:tblPrEx>
          <w:shd w:val="clear" w:color="auto" w:fill="auto"/>
        </w:tblPrEx>
        <w:trPr>
          <w:trHeight w:val="2405"/>
        </w:trPr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Styltabeli1"/>
            </w:pPr>
            <w:r>
              <w:rPr>
                <w:rFonts w:eastAsia="Arial Unicode MS" w:cs="Arial Unicode MS"/>
              </w:rPr>
              <w:t>Ćwiczenia nr 7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Tre"/>
            </w:pPr>
            <w:r>
              <w:t>Określenie zakresu dopuszczalnych form udostępniania wiedzy publicznej w świetle uregulowań ogólnych - ustawy z dnia 6 września 2001 r. o dostępie do informacji publicznej (tryb wnioskowy, tryby bezwnioskowe)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Tre"/>
            </w:pPr>
            <w:proofErr w:type="gramStart"/>
            <w:r>
              <w:t>BIP  -  jako</w:t>
            </w:r>
            <w:proofErr w:type="gramEnd"/>
            <w:r>
              <w:t xml:space="preserve"> forma bezwnioskowego upubliczniania informacji publicznej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Tre"/>
            </w:pPr>
            <w:proofErr w:type="gramStart"/>
            <w:r>
              <w:t>BIP  -  jako</w:t>
            </w:r>
            <w:proofErr w:type="gramEnd"/>
            <w:r>
              <w:t xml:space="preserve"> forma bezwnioskowego upubliczniania informacji publicznej</w:t>
            </w:r>
          </w:p>
        </w:tc>
      </w:tr>
      <w:tr w:rsidR="00DC796F" w:rsidRPr="008D29FC">
        <w:tblPrEx>
          <w:shd w:val="clear" w:color="auto" w:fill="auto"/>
        </w:tblPrEx>
        <w:trPr>
          <w:trHeight w:val="2405"/>
        </w:trPr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Styltabeli1"/>
            </w:pPr>
            <w:r>
              <w:rPr>
                <w:rFonts w:eastAsia="Arial Unicode MS" w:cs="Arial Unicode MS"/>
              </w:rPr>
              <w:t>Ćwiczenia nr 8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Tre"/>
            </w:pPr>
            <w:r>
              <w:t>Określenie zakresu dopuszczalnych form udostępniania wiedzy publicznej w świetle uregulowań ogólnych - ustawy z dnia 6 września 2001 r. o dostępie do informacji publicznej (tryb wnioskowy, tryby bezwnioskowe)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Tre"/>
            </w:pPr>
            <w:r>
              <w:t xml:space="preserve">Określenie zakresu ograniczeń udostępniania wiedzy publicznej (ograniczenia wynikające z </w:t>
            </w:r>
            <w:proofErr w:type="spellStart"/>
            <w:r>
              <w:t>u.</w:t>
            </w:r>
            <w:proofErr w:type="gramStart"/>
            <w:r>
              <w:t>d</w:t>
            </w:r>
            <w:proofErr w:type="gramEnd"/>
            <w:r>
              <w:t>.</w:t>
            </w:r>
            <w:proofErr w:type="gramStart"/>
            <w:r>
              <w:t>i</w:t>
            </w:r>
            <w:proofErr w:type="gramEnd"/>
            <w:r>
              <w:t>.</w:t>
            </w:r>
            <w:proofErr w:type="gramStart"/>
            <w:r>
              <w:t>p</w:t>
            </w:r>
            <w:proofErr w:type="spellEnd"/>
            <w:proofErr w:type="gramEnd"/>
            <w:r>
              <w:t>. oraz z zawartości uregulowań szczególnych)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Tre"/>
            </w:pPr>
            <w:r>
              <w:t xml:space="preserve">Określenie zakresu ograniczeń udostępniania wiedzy publicznej (ograniczenia wynikające z </w:t>
            </w:r>
            <w:proofErr w:type="spellStart"/>
            <w:r>
              <w:t>u.</w:t>
            </w:r>
            <w:proofErr w:type="gramStart"/>
            <w:r>
              <w:t>d</w:t>
            </w:r>
            <w:proofErr w:type="gramEnd"/>
            <w:r>
              <w:t>.</w:t>
            </w:r>
            <w:proofErr w:type="gramStart"/>
            <w:r>
              <w:t>i</w:t>
            </w:r>
            <w:proofErr w:type="gramEnd"/>
            <w:r>
              <w:t>.</w:t>
            </w:r>
            <w:proofErr w:type="gramStart"/>
            <w:r>
              <w:t>p</w:t>
            </w:r>
            <w:proofErr w:type="spellEnd"/>
            <w:proofErr w:type="gramEnd"/>
            <w:r>
              <w:t>. oraz z zawartości uregulowań szczególnych)</w:t>
            </w:r>
          </w:p>
        </w:tc>
      </w:tr>
      <w:tr w:rsidR="00DC796F" w:rsidRPr="008D29FC">
        <w:tblPrEx>
          <w:shd w:val="clear" w:color="auto" w:fill="auto"/>
        </w:tblPrEx>
        <w:trPr>
          <w:trHeight w:val="1445"/>
        </w:trPr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Styltabeli1"/>
            </w:pPr>
            <w:r>
              <w:rPr>
                <w:rFonts w:eastAsia="Arial Unicode MS" w:cs="Arial Unicode MS"/>
              </w:rPr>
              <w:t>Ćwiczenia nr 9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Tre"/>
            </w:pPr>
            <w:proofErr w:type="gramStart"/>
            <w:r>
              <w:t>BIP  -  jako</w:t>
            </w:r>
            <w:proofErr w:type="gramEnd"/>
            <w:r>
              <w:t xml:space="preserve"> forma bezwnioskowego upubliczniania informacji publicznej</w:t>
            </w:r>
            <w:r w:rsidR="002374C6">
              <w:t xml:space="preserve"> 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Tre"/>
            </w:pPr>
            <w:r>
              <w:t>Określenie prawnie dopuszczanych form upubliczniania informacji na płaszczyźnie wybranych uregulowań materialnego prawa administracyjnego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Tre"/>
            </w:pPr>
            <w:r>
              <w:t>Określenie prawnie dopuszczanych form upubliczniania informacji na płaszczyźnie wybranych uregulowań materialnego prawa administracyjnego</w:t>
            </w:r>
          </w:p>
        </w:tc>
      </w:tr>
      <w:tr w:rsidR="00DC796F">
        <w:tblPrEx>
          <w:shd w:val="clear" w:color="auto" w:fill="auto"/>
        </w:tblPrEx>
        <w:trPr>
          <w:trHeight w:val="965"/>
        </w:trPr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Styltabeli1"/>
            </w:pPr>
            <w:r>
              <w:rPr>
                <w:rFonts w:eastAsia="Arial Unicode MS" w:cs="Arial Unicode MS"/>
              </w:rPr>
              <w:t>Ćwiczenia nr 10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Tre"/>
            </w:pPr>
            <w:proofErr w:type="gramStart"/>
            <w:r>
              <w:t>BIP  -  jako</w:t>
            </w:r>
            <w:proofErr w:type="gramEnd"/>
            <w:r>
              <w:t xml:space="preserve"> forma bezwnioskowego upubliczniania informacji publicznej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Tre"/>
            </w:pPr>
            <w:r>
              <w:t>Kolokwium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Tre"/>
            </w:pPr>
            <w:r>
              <w:t>Kolokwium</w:t>
            </w:r>
          </w:p>
        </w:tc>
      </w:tr>
      <w:tr w:rsidR="00DC796F">
        <w:tblPrEx>
          <w:shd w:val="clear" w:color="auto" w:fill="auto"/>
        </w:tblPrEx>
        <w:trPr>
          <w:trHeight w:val="1445"/>
        </w:trPr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Styltabeli1"/>
            </w:pPr>
            <w:r>
              <w:rPr>
                <w:rFonts w:eastAsia="Arial Unicode MS" w:cs="Arial Unicode MS"/>
              </w:rPr>
              <w:t>Ćwiczenia nr 11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Tre"/>
            </w:pPr>
            <w:r>
              <w:t xml:space="preserve">Określenie zakresu ograniczeń udostępniania wiedzy publicznej (ograniczenia wynikające z </w:t>
            </w:r>
            <w:proofErr w:type="spellStart"/>
            <w:r>
              <w:t>u.</w:t>
            </w:r>
            <w:proofErr w:type="gramStart"/>
            <w:r>
              <w:t>d</w:t>
            </w:r>
            <w:proofErr w:type="gramEnd"/>
            <w:r>
              <w:t>.</w:t>
            </w:r>
            <w:proofErr w:type="gramStart"/>
            <w:r>
              <w:t>i</w:t>
            </w:r>
            <w:proofErr w:type="gramEnd"/>
            <w:r>
              <w:t>.</w:t>
            </w:r>
            <w:proofErr w:type="gramStart"/>
            <w:r>
              <w:t>p</w:t>
            </w:r>
            <w:proofErr w:type="spellEnd"/>
            <w:proofErr w:type="gramEnd"/>
            <w:r>
              <w:t>. oraz z zawartości uregulowań szczególnych)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Tre"/>
            </w:pPr>
            <w:r>
              <w:t>——————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Styltabeli2"/>
            </w:pPr>
            <w:r>
              <w:t>——————</w:t>
            </w:r>
          </w:p>
        </w:tc>
      </w:tr>
      <w:tr w:rsidR="00DC796F">
        <w:tblPrEx>
          <w:shd w:val="clear" w:color="auto" w:fill="auto"/>
        </w:tblPrEx>
        <w:trPr>
          <w:trHeight w:val="1445"/>
        </w:trPr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Styltabeli1"/>
            </w:pPr>
            <w:r>
              <w:rPr>
                <w:rFonts w:eastAsia="Arial Unicode MS" w:cs="Arial Unicode MS"/>
              </w:rPr>
              <w:lastRenderedPageBreak/>
              <w:t>Ćwiczenia nr 12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Tre"/>
            </w:pPr>
            <w:r>
              <w:t xml:space="preserve">Określenie zakresu ograniczeń udostępniania wiedzy publicznej (ograniczenia wynikające z </w:t>
            </w:r>
            <w:proofErr w:type="spellStart"/>
            <w:r>
              <w:t>u.</w:t>
            </w:r>
            <w:proofErr w:type="gramStart"/>
            <w:r>
              <w:t>d</w:t>
            </w:r>
            <w:proofErr w:type="gramEnd"/>
            <w:r>
              <w:t>.</w:t>
            </w:r>
            <w:proofErr w:type="gramStart"/>
            <w:r>
              <w:t>i</w:t>
            </w:r>
            <w:proofErr w:type="gramEnd"/>
            <w:r>
              <w:t>.</w:t>
            </w:r>
            <w:proofErr w:type="gramStart"/>
            <w:r>
              <w:t>p</w:t>
            </w:r>
            <w:proofErr w:type="spellEnd"/>
            <w:proofErr w:type="gramEnd"/>
            <w:r>
              <w:t>. oraz z zawartości uregulowań szczególnych)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Tre"/>
            </w:pPr>
            <w:r>
              <w:t>——————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Styltabeli2"/>
            </w:pPr>
            <w:r>
              <w:t>——————</w:t>
            </w:r>
          </w:p>
        </w:tc>
      </w:tr>
      <w:tr w:rsidR="00DC796F">
        <w:tblPrEx>
          <w:shd w:val="clear" w:color="auto" w:fill="auto"/>
        </w:tblPrEx>
        <w:trPr>
          <w:trHeight w:val="1445"/>
        </w:trPr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Styltabeli1"/>
            </w:pPr>
            <w:r>
              <w:rPr>
                <w:rFonts w:eastAsia="Arial Unicode MS" w:cs="Arial Unicode MS"/>
              </w:rPr>
              <w:t>Ćwiczenia nr 13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Tre"/>
            </w:pPr>
            <w:r>
              <w:t>Określenie prawnie dopuszczanych form upubliczniania informacji na płaszczyźnie wybranych uregulowań materialnego prawa administracyjnego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Tre"/>
            </w:pPr>
            <w:r>
              <w:t>——————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Styltabeli2"/>
            </w:pPr>
            <w:r>
              <w:t>——————</w:t>
            </w:r>
          </w:p>
        </w:tc>
      </w:tr>
      <w:tr w:rsidR="00DC796F">
        <w:tblPrEx>
          <w:shd w:val="clear" w:color="auto" w:fill="auto"/>
        </w:tblPrEx>
        <w:trPr>
          <w:trHeight w:val="1445"/>
        </w:trPr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Styltabeli1"/>
            </w:pPr>
            <w:r>
              <w:rPr>
                <w:rFonts w:eastAsia="Arial Unicode MS" w:cs="Arial Unicode MS"/>
              </w:rPr>
              <w:t>Ćwiczenia nr 14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Tre"/>
            </w:pPr>
            <w:r>
              <w:t>Określenie prawnie dopuszczanych form upubliczniania informacji na płaszczyźnie wybranych uregulowań materialnego prawa administracyjnego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Tre"/>
            </w:pPr>
            <w:r>
              <w:t>——————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Styltabeli2"/>
            </w:pPr>
            <w:r>
              <w:t>——————</w:t>
            </w:r>
          </w:p>
        </w:tc>
      </w:tr>
      <w:tr w:rsidR="00DC796F">
        <w:tblPrEx>
          <w:shd w:val="clear" w:color="auto" w:fill="auto"/>
        </w:tblPrEx>
        <w:trPr>
          <w:trHeight w:val="279"/>
        </w:trPr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Styltabeli1"/>
            </w:pPr>
            <w:r>
              <w:rPr>
                <w:rFonts w:eastAsia="Arial Unicode MS" w:cs="Arial Unicode MS"/>
              </w:rPr>
              <w:t>Ćwiczenia nr 15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Tre"/>
            </w:pPr>
            <w:r>
              <w:t>Kolokwium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Tre"/>
            </w:pPr>
            <w:r>
              <w:t>——————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Styltabeli2"/>
            </w:pPr>
            <w:r>
              <w:t>——————</w:t>
            </w:r>
          </w:p>
        </w:tc>
      </w:tr>
      <w:tr w:rsidR="00DC796F">
        <w:tblPrEx>
          <w:shd w:val="clear" w:color="auto" w:fill="auto"/>
        </w:tblPrEx>
        <w:trPr>
          <w:trHeight w:val="279"/>
        </w:trPr>
        <w:tc>
          <w:tcPr>
            <w:tcW w:w="17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DC796F"/>
        </w:tc>
        <w:tc>
          <w:tcPr>
            <w:tcW w:w="26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Styltabeli1"/>
            </w:pPr>
            <w:r>
              <w:rPr>
                <w:rFonts w:eastAsia="Arial Unicode MS" w:cs="Arial Unicode MS"/>
              </w:rPr>
              <w:t>30 godzin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Styltabeli1"/>
            </w:pPr>
            <w:r>
              <w:rPr>
                <w:rFonts w:eastAsia="Arial Unicode MS" w:cs="Arial Unicode MS"/>
              </w:rPr>
              <w:t>20 godzin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6F" w:rsidRDefault="00272ACF">
            <w:pPr>
              <w:pStyle w:val="Styltabeli1"/>
            </w:pPr>
            <w:r>
              <w:rPr>
                <w:rFonts w:eastAsia="Arial Unicode MS" w:cs="Arial Unicode MS"/>
              </w:rPr>
              <w:t>20 godzin</w:t>
            </w:r>
          </w:p>
        </w:tc>
      </w:tr>
    </w:tbl>
    <w:p w:rsidR="00DC796F" w:rsidRDefault="00DC796F">
      <w:pPr>
        <w:pStyle w:val="Tre"/>
      </w:pPr>
    </w:p>
    <w:p w:rsidR="00DC796F" w:rsidRDefault="00DC796F">
      <w:pPr>
        <w:pStyle w:val="Tre"/>
      </w:pPr>
    </w:p>
    <w:p w:rsidR="00DC796F" w:rsidRDefault="00272ACF">
      <w:pPr>
        <w:pStyle w:val="Nagwek2"/>
      </w:pPr>
      <w:bookmarkStart w:id="9" w:name="_Toc9"/>
      <w:r>
        <w:rPr>
          <w:rFonts w:eastAsia="Arial Unicode MS" w:cs="Arial Unicode MS"/>
        </w:rPr>
        <w:t>Zaliczenie</w:t>
      </w:r>
      <w:bookmarkEnd w:id="9"/>
    </w:p>
    <w:p w:rsidR="00DC796F" w:rsidRDefault="00272ACF">
      <w:pPr>
        <w:pStyle w:val="Tre"/>
      </w:pPr>
      <w:r>
        <w:t xml:space="preserve">Formę i termin zaliczenia określa prowadzący ćwiczenia. Zaliczenie obejmuje wszystkie zagadnienia wskazane w powyższej rozpisce tematycznej. </w:t>
      </w:r>
    </w:p>
    <w:p w:rsidR="00DC796F" w:rsidRDefault="00DC796F">
      <w:pPr>
        <w:pStyle w:val="Tre"/>
      </w:pPr>
    </w:p>
    <w:p w:rsidR="00DC796F" w:rsidRDefault="00272ACF">
      <w:pPr>
        <w:pStyle w:val="Nagwek2"/>
      </w:pPr>
      <w:bookmarkStart w:id="10" w:name="_Toc10"/>
      <w:r>
        <w:rPr>
          <w:rFonts w:eastAsia="Arial Unicode MS" w:cs="Arial Unicode MS"/>
        </w:rPr>
        <w:t>Akty prawne</w:t>
      </w:r>
      <w:bookmarkEnd w:id="10"/>
    </w:p>
    <w:p w:rsidR="001842FB" w:rsidRPr="002374C6" w:rsidRDefault="001842FB" w:rsidP="000F0A48">
      <w:pPr>
        <w:pStyle w:val="Tre"/>
        <w:numPr>
          <w:ilvl w:val="0"/>
          <w:numId w:val="4"/>
        </w:numPr>
        <w:jc w:val="both"/>
        <w:rPr>
          <w:b/>
          <w:color w:val="auto"/>
        </w:rPr>
      </w:pPr>
      <w:r w:rsidRPr="002374C6">
        <w:rPr>
          <w:b/>
          <w:iCs/>
          <w:color w:val="auto"/>
        </w:rPr>
        <w:t>Konstytucja z dnia 2 kwietnia 1997 r</w:t>
      </w:r>
      <w:r w:rsidR="000F0A48" w:rsidRPr="002374C6">
        <w:rPr>
          <w:b/>
          <w:iCs/>
          <w:color w:val="auto"/>
        </w:rPr>
        <w:t>.;</w:t>
      </w:r>
    </w:p>
    <w:p w:rsidR="001842FB" w:rsidRPr="002374C6" w:rsidRDefault="001842FB" w:rsidP="000F0A48">
      <w:pPr>
        <w:pStyle w:val="Tre"/>
        <w:numPr>
          <w:ilvl w:val="0"/>
          <w:numId w:val="4"/>
        </w:numPr>
        <w:jc w:val="both"/>
        <w:rPr>
          <w:b/>
          <w:color w:val="auto"/>
        </w:rPr>
      </w:pPr>
      <w:r w:rsidRPr="002374C6">
        <w:rPr>
          <w:b/>
          <w:iCs/>
          <w:color w:val="auto"/>
        </w:rPr>
        <w:t>Ustawa z dnia 6 września 2001 r. o dostępie do informacji publicznej</w:t>
      </w:r>
      <w:r w:rsidR="000F0A48" w:rsidRPr="002374C6">
        <w:rPr>
          <w:b/>
          <w:iCs/>
          <w:color w:val="auto"/>
        </w:rPr>
        <w:t>;</w:t>
      </w:r>
    </w:p>
    <w:p w:rsidR="00DC796F" w:rsidRPr="002374C6" w:rsidRDefault="001842FB" w:rsidP="000F0A48">
      <w:pPr>
        <w:pStyle w:val="Tre"/>
        <w:numPr>
          <w:ilvl w:val="0"/>
          <w:numId w:val="2"/>
        </w:numPr>
        <w:jc w:val="both"/>
        <w:rPr>
          <w:b/>
          <w:color w:val="auto"/>
        </w:rPr>
      </w:pPr>
      <w:r w:rsidRPr="002374C6">
        <w:rPr>
          <w:b/>
          <w:iCs/>
          <w:color w:val="auto"/>
        </w:rPr>
        <w:t xml:space="preserve">Ustawa </w:t>
      </w:r>
      <w:r w:rsidR="000F0A48" w:rsidRPr="002374C6">
        <w:rPr>
          <w:b/>
          <w:iCs/>
          <w:color w:val="auto"/>
        </w:rPr>
        <w:t xml:space="preserve">z dnia 25 lutego 2016 r. </w:t>
      </w:r>
      <w:r w:rsidR="00272ACF" w:rsidRPr="002374C6">
        <w:rPr>
          <w:b/>
          <w:iCs/>
          <w:color w:val="auto"/>
        </w:rPr>
        <w:t>o ponownym wykorzystaniu informacji sektora publicznego</w:t>
      </w:r>
      <w:r w:rsidR="000F0A48" w:rsidRPr="002374C6">
        <w:rPr>
          <w:b/>
          <w:iCs/>
          <w:color w:val="auto"/>
        </w:rPr>
        <w:t>;</w:t>
      </w:r>
    </w:p>
    <w:p w:rsidR="002374C6" w:rsidRPr="002374C6" w:rsidRDefault="002374C6" w:rsidP="002374C6">
      <w:pPr>
        <w:pStyle w:val="Akapitzlist"/>
        <w:numPr>
          <w:ilvl w:val="0"/>
          <w:numId w:val="2"/>
        </w:numPr>
        <w:rPr>
          <w:rFonts w:ascii="Helvetica" w:hAnsi="Helvetica" w:cs="Arial Unicode MS"/>
          <w:b/>
          <w:sz w:val="20"/>
          <w:szCs w:val="20"/>
          <w:lang w:val="pl-PL" w:eastAsia="pl-PL"/>
        </w:rPr>
      </w:pPr>
      <w:r w:rsidRPr="002374C6">
        <w:rPr>
          <w:rFonts w:ascii="Helvetica" w:hAnsi="Helvetica" w:cs="Arial Unicode MS"/>
          <w:b/>
          <w:sz w:val="20"/>
          <w:szCs w:val="20"/>
          <w:lang w:val="pl-PL" w:eastAsia="pl-PL"/>
        </w:rPr>
        <w:t>Rozporządzenie Ministra Spraw Wewnętrznych i Administracji z dnia 18 stycznia 2007 r. w sprawie Biuletynu Informacji Publicznej;</w:t>
      </w:r>
    </w:p>
    <w:p w:rsidR="002374C6" w:rsidRPr="002374C6" w:rsidRDefault="000F0A48" w:rsidP="002374C6">
      <w:pPr>
        <w:pStyle w:val="Tre"/>
        <w:numPr>
          <w:ilvl w:val="0"/>
          <w:numId w:val="2"/>
        </w:numPr>
        <w:jc w:val="both"/>
        <w:rPr>
          <w:color w:val="auto"/>
        </w:rPr>
      </w:pPr>
      <w:r w:rsidRPr="000F0A48">
        <w:rPr>
          <w:color w:val="auto"/>
        </w:rPr>
        <w:t>Dyrektywa Parlamentu Europejskiego i Rady (UE) 2016/680 z dnia 27 kwietnia 2016 r. w sprawie ochrony osób fizycznych w związku z przetwarzaniem danych osobowych przez właściwe organy do celów zapobiegania przestępczości, prowadzenia postępowań przygotowawczych, wykrywania i ścigania czynów zabronionych i wykonywania kar, w sprawie swobodnego przepływu takich danych oraz uchylająca decyzję ramową Rady 2008/977/</w:t>
      </w:r>
      <w:proofErr w:type="spellStart"/>
      <w:r w:rsidRPr="000F0A48">
        <w:rPr>
          <w:color w:val="auto"/>
        </w:rPr>
        <w:t>WSiSW</w:t>
      </w:r>
      <w:proofErr w:type="spellEnd"/>
      <w:r w:rsidRPr="000F0A48">
        <w:rPr>
          <w:color w:val="auto"/>
        </w:rPr>
        <w:t>;</w:t>
      </w:r>
    </w:p>
    <w:p w:rsidR="000F0A48" w:rsidRPr="000F0A48" w:rsidRDefault="000F0A48" w:rsidP="000F0A48">
      <w:pPr>
        <w:pStyle w:val="Tre"/>
        <w:numPr>
          <w:ilvl w:val="0"/>
          <w:numId w:val="2"/>
        </w:numPr>
        <w:jc w:val="both"/>
        <w:rPr>
          <w:color w:val="auto"/>
        </w:rPr>
      </w:pPr>
      <w:r w:rsidRPr="000F0A48">
        <w:rPr>
          <w:color w:val="auto"/>
        </w:rPr>
        <w:t>Rozporządzenie (WE) nr 45/2001 Parlamentu Europejskiego i Rady z dnia 18 grudnia 2000 r. o ochronie osób fizycznych w związku z przetwarzaniem danych osobowych przez instytucje i organy wspólnotowe i o swobodnym przepływie takich danych;</w:t>
      </w:r>
    </w:p>
    <w:p w:rsidR="000F0A48" w:rsidRPr="000F0A48" w:rsidRDefault="000F0A48" w:rsidP="000F0A48">
      <w:pPr>
        <w:pStyle w:val="Tre"/>
        <w:numPr>
          <w:ilvl w:val="0"/>
          <w:numId w:val="2"/>
        </w:numPr>
        <w:jc w:val="both"/>
        <w:rPr>
          <w:color w:val="auto"/>
        </w:rPr>
      </w:pPr>
      <w:r w:rsidRPr="000F0A48">
        <w:rPr>
          <w:color w:val="auto"/>
        </w:rPr>
        <w:t>Rozporządzenie (WE) nr 1049/2001 Parlamentu Europejskiego i Rady z dnia 30 maja 2001 r. w sprawie publicznego dostępu do dokumentów Parlamentu Europejskiego, Rady i Komisji;</w:t>
      </w:r>
    </w:p>
    <w:p w:rsidR="000F0A48" w:rsidRPr="000F0A48" w:rsidRDefault="000F0A48" w:rsidP="000F0A48">
      <w:pPr>
        <w:pStyle w:val="Tre"/>
        <w:ind w:left="327"/>
      </w:pPr>
    </w:p>
    <w:p w:rsidR="00DC796F" w:rsidRDefault="00DC796F">
      <w:pPr>
        <w:pStyle w:val="Tre"/>
      </w:pPr>
      <w:bookmarkStart w:id="11" w:name="_GoBack"/>
      <w:bookmarkEnd w:id="11"/>
    </w:p>
    <w:p w:rsidR="00DC796F" w:rsidRDefault="00272ACF">
      <w:pPr>
        <w:pStyle w:val="Nagwek2"/>
      </w:pPr>
      <w:bookmarkStart w:id="12" w:name="_Toc11"/>
      <w:r>
        <w:rPr>
          <w:rFonts w:eastAsia="Arial Unicode MS" w:cs="Arial Unicode MS"/>
        </w:rPr>
        <w:t>Literatura</w:t>
      </w:r>
      <w:bookmarkEnd w:id="12"/>
    </w:p>
    <w:p w:rsidR="00DC796F" w:rsidRDefault="00272ACF">
      <w:pPr>
        <w:pStyle w:val="Tre"/>
        <w:numPr>
          <w:ilvl w:val="0"/>
          <w:numId w:val="5"/>
        </w:numPr>
      </w:pPr>
      <w:r>
        <w:t xml:space="preserve">P. </w:t>
      </w:r>
      <w:proofErr w:type="spellStart"/>
      <w:r>
        <w:t>Sitniewski</w:t>
      </w:r>
      <w:proofErr w:type="spellEnd"/>
      <w:r>
        <w:t>, Ustawa o dostępie do in</w:t>
      </w:r>
      <w:r w:rsidR="002374C6">
        <w:t xml:space="preserve">formacji publicznej. Komentarz, </w:t>
      </w:r>
      <w:proofErr w:type="spellStart"/>
      <w:r>
        <w:t>Wrocł</w:t>
      </w:r>
      <w:proofErr w:type="spellEnd"/>
      <w:r>
        <w:rPr>
          <w:lang w:val="en-US"/>
        </w:rPr>
        <w:t>aw, 2011</w:t>
      </w:r>
    </w:p>
    <w:p w:rsidR="00DC796F" w:rsidRDefault="00272ACF">
      <w:pPr>
        <w:pStyle w:val="Tre"/>
        <w:numPr>
          <w:ilvl w:val="0"/>
          <w:numId w:val="2"/>
        </w:numPr>
      </w:pPr>
      <w:r>
        <w:t xml:space="preserve">I. Kamińska, M. </w:t>
      </w:r>
      <w:proofErr w:type="spellStart"/>
      <w:r>
        <w:t>Rozbicka-Ostrowska</w:t>
      </w:r>
      <w:proofErr w:type="spellEnd"/>
      <w:r>
        <w:t>, Ustawa o dostępie do informacji publicznej. Komentarz, Warszawa 2012</w:t>
      </w:r>
    </w:p>
    <w:p w:rsidR="00DC796F" w:rsidRDefault="00272ACF">
      <w:pPr>
        <w:pStyle w:val="Tre"/>
        <w:numPr>
          <w:ilvl w:val="0"/>
          <w:numId w:val="2"/>
        </w:numPr>
      </w:pPr>
      <w:r>
        <w:t>T. R. Aleksandrowicz, Komentarz do ustawy o dostępie do informacji publicznej, Warszawa 2008</w:t>
      </w:r>
    </w:p>
    <w:p w:rsidR="00DC796F" w:rsidRDefault="00272ACF">
      <w:pPr>
        <w:pStyle w:val="Tre"/>
        <w:numPr>
          <w:ilvl w:val="0"/>
          <w:numId w:val="2"/>
        </w:numPr>
      </w:pPr>
      <w:r>
        <w:t xml:space="preserve">M. Jabłoński, K. Wygoda, Ustawa o dostępie do informacji publicznej. Komentarz Wrocław 2002 </w:t>
      </w:r>
    </w:p>
    <w:p w:rsidR="00DC796F" w:rsidRDefault="00272ACF">
      <w:pPr>
        <w:pStyle w:val="Tre"/>
        <w:numPr>
          <w:ilvl w:val="0"/>
          <w:numId w:val="2"/>
        </w:numPr>
      </w:pPr>
      <w:r>
        <w:t>M. Bernaczyk, K. Wygoda, M. Jabłoński, Biuletyn Informacji Publicznej. Informatyzacja administracji, Wrocław 2005</w:t>
      </w:r>
    </w:p>
    <w:p w:rsidR="00DC796F" w:rsidRDefault="00272ACF">
      <w:pPr>
        <w:pStyle w:val="Tre"/>
        <w:numPr>
          <w:ilvl w:val="0"/>
          <w:numId w:val="2"/>
        </w:numPr>
      </w:pPr>
      <w:r>
        <w:t>M. Jabłoński, K. Wygoda, Dostęp do informacji publicznej i jego granice; Wrocław 2002</w:t>
      </w:r>
    </w:p>
    <w:p w:rsidR="00DC796F" w:rsidRDefault="00272ACF">
      <w:pPr>
        <w:pStyle w:val="Tre"/>
        <w:numPr>
          <w:ilvl w:val="0"/>
          <w:numId w:val="2"/>
        </w:numPr>
      </w:pPr>
      <w:r>
        <w:t>M. Bernaczyk, Obowiązek bezwnioskowego udostępniania informacji publicznej; Warszawa 2008</w:t>
      </w:r>
    </w:p>
    <w:p w:rsidR="00DC796F" w:rsidRDefault="00272ACF">
      <w:pPr>
        <w:pStyle w:val="Tre"/>
        <w:numPr>
          <w:ilvl w:val="0"/>
          <w:numId w:val="2"/>
        </w:numPr>
      </w:pPr>
      <w:r>
        <w:t>M. Zaremba, Prawo dostępu do informacji publicznej. Zagadnienia praktyczne, Warszawa 2009</w:t>
      </w:r>
    </w:p>
    <w:p w:rsidR="00DC796F" w:rsidRDefault="00272ACF">
      <w:pPr>
        <w:pStyle w:val="Tre"/>
        <w:numPr>
          <w:ilvl w:val="0"/>
          <w:numId w:val="2"/>
        </w:numPr>
      </w:pPr>
      <w:r>
        <w:lastRenderedPageBreak/>
        <w:t xml:space="preserve">M. Bidziński, M. </w:t>
      </w:r>
      <w:proofErr w:type="spellStart"/>
      <w:r>
        <w:t>Chmaj</w:t>
      </w:r>
      <w:proofErr w:type="spellEnd"/>
      <w:r>
        <w:t>, P. Szustakiewicz, Ustawa o dostępie do informacji publicznej. Komentarz, Warszawa 2010</w:t>
      </w:r>
    </w:p>
    <w:p w:rsidR="00FE37E3" w:rsidRDefault="00FE37E3">
      <w:pPr>
        <w:pStyle w:val="Tre"/>
        <w:numPr>
          <w:ilvl w:val="0"/>
          <w:numId w:val="2"/>
        </w:numPr>
      </w:pPr>
      <w:r>
        <w:t xml:space="preserve">K. Tomaszewska, Dostęp do informacji </w:t>
      </w:r>
      <w:r w:rsidR="0024520B">
        <w:t>publicznej, jako</w:t>
      </w:r>
      <w:r>
        <w:t xml:space="preserve"> kategoria ochrony interesu jednostek w regulacjach prawa administracyjnego, Warszawa, 2015, (rozdział 4)</w:t>
      </w:r>
    </w:p>
    <w:sectPr w:rsidR="00FE37E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9D0" w:rsidRDefault="009A79D0">
      <w:r>
        <w:separator/>
      </w:r>
    </w:p>
  </w:endnote>
  <w:endnote w:type="continuationSeparator" w:id="0">
    <w:p w:rsidR="009A79D0" w:rsidRDefault="009A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96F" w:rsidRDefault="00DC79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9D0" w:rsidRDefault="009A79D0">
      <w:r>
        <w:separator/>
      </w:r>
    </w:p>
  </w:footnote>
  <w:footnote w:type="continuationSeparator" w:id="0">
    <w:p w:rsidR="009A79D0" w:rsidRDefault="009A7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96F" w:rsidRDefault="00DC79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65D7C"/>
    <w:multiLevelType w:val="hybridMultilevel"/>
    <w:tmpl w:val="6264F78C"/>
    <w:numStyleLink w:val="Numery"/>
  </w:abstractNum>
  <w:abstractNum w:abstractNumId="1">
    <w:nsid w:val="54643D31"/>
    <w:multiLevelType w:val="hybridMultilevel"/>
    <w:tmpl w:val="6264F78C"/>
    <w:styleLink w:val="Numery"/>
    <w:lvl w:ilvl="0" w:tplc="3CDAF256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145A54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3E1326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BC8568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8EA3E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24133C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FC04F0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86F8C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00DCB0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6F"/>
    <w:rsid w:val="000F0A48"/>
    <w:rsid w:val="001842FB"/>
    <w:rsid w:val="002374C6"/>
    <w:rsid w:val="0024520B"/>
    <w:rsid w:val="00272ACF"/>
    <w:rsid w:val="003313FB"/>
    <w:rsid w:val="00567134"/>
    <w:rsid w:val="00774569"/>
    <w:rsid w:val="008D29FC"/>
    <w:rsid w:val="009A79D0"/>
    <w:rsid w:val="00DC20A9"/>
    <w:rsid w:val="00DC796F"/>
    <w:rsid w:val="00F518EE"/>
    <w:rsid w:val="00FE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383D5-3AE3-47C9-B73E-2B214832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paragraph" w:styleId="Nagwek2">
    <w:name w:val="heading 2"/>
    <w:next w:val="Tre"/>
    <w:pPr>
      <w:keepNext/>
      <w:outlineLvl w:val="1"/>
    </w:pPr>
    <w:rPr>
      <w:rFonts w:ascii="Helvetica" w:eastAsia="Helvetica" w:hAnsi="Helvetica" w:cs="Helvetica"/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next w:val="Tre"/>
    <w:pPr>
      <w:keepNext/>
      <w:outlineLvl w:val="2"/>
    </w:pPr>
    <w:rPr>
      <w:rFonts w:ascii="Helvetica" w:hAnsi="Helvetica" w:cs="Arial Unicode MS"/>
      <w:b/>
      <w:bCs/>
      <w:color w:val="000000"/>
      <w:sz w:val="60"/>
      <w:szCs w:val="60"/>
    </w:rPr>
  </w:style>
  <w:style w:type="paragraph" w:customStyle="1" w:styleId="Tre">
    <w:name w:val="Treść"/>
    <w:rPr>
      <w:rFonts w:ascii="Helvetica" w:hAnsi="Helvetica" w:cs="Arial Unicode MS"/>
      <w:color w:val="000000"/>
    </w:rPr>
  </w:style>
  <w:style w:type="paragraph" w:styleId="Spistreci1">
    <w:name w:val="toc 1"/>
    <w:pPr>
      <w:tabs>
        <w:tab w:val="right" w:pos="8928"/>
      </w:tabs>
      <w:spacing w:after="120"/>
      <w:ind w:left="240"/>
    </w:pPr>
    <w:rPr>
      <w:rFonts w:ascii="Helvetica" w:eastAsia="Helvetica" w:hAnsi="Helvetica" w:cs="Helvetica"/>
      <w:b/>
      <w:bCs/>
      <w:color w:val="7F7F7F"/>
    </w:rPr>
  </w:style>
  <w:style w:type="paragraph" w:styleId="Nagwek">
    <w:name w:val="header"/>
    <w:next w:val="Tre"/>
    <w:pPr>
      <w:keepNext/>
      <w:outlineLvl w:val="0"/>
    </w:pPr>
    <w:rPr>
      <w:rFonts w:ascii="Helvetica" w:eastAsia="Helvetica" w:hAnsi="Helvetica" w:cs="Helvetica"/>
      <w:b/>
      <w:bCs/>
      <w:color w:val="000000"/>
      <w:sz w:val="36"/>
      <w:szCs w:val="36"/>
    </w:rPr>
  </w:style>
  <w:style w:type="paragraph" w:styleId="Spistreci2">
    <w:name w:val="toc 2"/>
    <w:pPr>
      <w:tabs>
        <w:tab w:val="right" w:pos="8928"/>
      </w:tabs>
      <w:spacing w:after="120"/>
      <w:ind w:left="240"/>
    </w:pPr>
    <w:rPr>
      <w:rFonts w:ascii="Helvetica" w:eastAsia="Helvetica" w:hAnsi="Helvetica" w:cs="Helvetica"/>
      <w:color w:val="7F7F7F"/>
    </w:rPr>
  </w:style>
  <w:style w:type="paragraph" w:styleId="Spistreci3">
    <w:name w:val="toc 3"/>
    <w:pPr>
      <w:tabs>
        <w:tab w:val="right" w:pos="8928"/>
      </w:tabs>
      <w:spacing w:after="120"/>
    </w:pPr>
    <w:rPr>
      <w:rFonts w:ascii="Helvetica" w:eastAsia="Helvetica" w:hAnsi="Helvetica" w:cs="Helvetica"/>
      <w:color w:val="000000"/>
      <w:sz w:val="28"/>
      <w:szCs w:val="28"/>
    </w:rPr>
  </w:style>
  <w:style w:type="paragraph" w:customStyle="1" w:styleId="Styltabeli1">
    <w:name w:val="Styl tabeli 1"/>
    <w:rPr>
      <w:rFonts w:ascii="Helvetica" w:eastAsia="Helvetica" w:hAnsi="Helvetica" w:cs="Helvetica"/>
      <w:b/>
      <w:bCs/>
      <w:color w:val="000000"/>
    </w:rPr>
  </w:style>
  <w:style w:type="paragraph" w:customStyle="1" w:styleId="Styltabeli2">
    <w:name w:val="Styl tabeli 2"/>
    <w:rPr>
      <w:rFonts w:ascii="Helvetica" w:hAnsi="Helvetica" w:cs="Arial Unicode MS"/>
      <w:color w:val="000000"/>
    </w:rPr>
  </w:style>
  <w:style w:type="numbering" w:customStyle="1" w:styleId="Numery">
    <w:name w:val="Numery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237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1610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pc</cp:lastModifiedBy>
  <cp:revision>12</cp:revision>
  <dcterms:created xsi:type="dcterms:W3CDTF">2016-09-09T11:27:00Z</dcterms:created>
  <dcterms:modified xsi:type="dcterms:W3CDTF">2016-09-14T05:49:00Z</dcterms:modified>
</cp:coreProperties>
</file>