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4AA82" w14:textId="1D0B915E" w:rsidR="00B42850" w:rsidRPr="00262DBF" w:rsidRDefault="00B42850" w:rsidP="00262DBF">
      <w:pPr>
        <w:spacing w:line="360" w:lineRule="auto"/>
        <w:ind w:left="720" w:hanging="360"/>
        <w:jc w:val="center"/>
        <w:rPr>
          <w:rFonts w:ascii="Cambria" w:hAnsi="Cambria"/>
          <w:b/>
          <w:bCs/>
          <w:szCs w:val="24"/>
        </w:rPr>
      </w:pPr>
      <w:r w:rsidRPr="00262DBF">
        <w:rPr>
          <w:rFonts w:ascii="Cambria" w:hAnsi="Cambria"/>
          <w:b/>
          <w:bCs/>
          <w:szCs w:val="24"/>
        </w:rPr>
        <w:t>List of exam question</w:t>
      </w:r>
    </w:p>
    <w:p w14:paraId="3F3322FB" w14:textId="77777777" w:rsidR="00813F27" w:rsidRPr="00262DBF" w:rsidRDefault="00813F27" w:rsidP="00262DBF">
      <w:pPr>
        <w:spacing w:line="360" w:lineRule="auto"/>
        <w:ind w:left="720" w:hanging="360"/>
        <w:rPr>
          <w:rFonts w:ascii="Cambria" w:hAnsi="Cambria"/>
          <w:b/>
          <w:bCs/>
          <w:szCs w:val="24"/>
        </w:rPr>
      </w:pPr>
    </w:p>
    <w:p w14:paraId="654C090F" w14:textId="30EE40A7" w:rsidR="00133D61" w:rsidRPr="00262DBF" w:rsidRDefault="00133D61" w:rsidP="00262DBF">
      <w:pPr>
        <w:spacing w:line="360" w:lineRule="auto"/>
        <w:ind w:left="720" w:hanging="360"/>
        <w:rPr>
          <w:rFonts w:ascii="Cambria" w:hAnsi="Cambria"/>
          <w:b/>
          <w:bCs/>
          <w:szCs w:val="24"/>
        </w:rPr>
      </w:pPr>
      <w:r w:rsidRPr="00262DBF">
        <w:rPr>
          <w:rFonts w:ascii="Cambria" w:hAnsi="Cambria"/>
          <w:b/>
          <w:bCs/>
          <w:szCs w:val="24"/>
        </w:rPr>
        <w:t xml:space="preserve">Procedural part </w:t>
      </w:r>
    </w:p>
    <w:p w14:paraId="29F81663" w14:textId="3AB4A034" w:rsidR="00CE0766" w:rsidRPr="00262DBF" w:rsidRDefault="008027AC" w:rsidP="00262DBF">
      <w:pPr>
        <w:pStyle w:val="Akapitzlist"/>
        <w:numPr>
          <w:ilvl w:val="0"/>
          <w:numId w:val="1"/>
        </w:numPr>
        <w:spacing w:line="360" w:lineRule="auto"/>
        <w:rPr>
          <w:rFonts w:ascii="Cambria" w:hAnsi="Cambria"/>
          <w:szCs w:val="24"/>
        </w:rPr>
      </w:pPr>
      <w:r w:rsidRPr="00262DBF">
        <w:rPr>
          <w:rFonts w:ascii="Cambria" w:hAnsi="Cambria"/>
          <w:szCs w:val="24"/>
        </w:rPr>
        <w:t xml:space="preserve">Sources of European criminal law </w:t>
      </w:r>
    </w:p>
    <w:p w14:paraId="15E3EBA6" w14:textId="043BA6EF" w:rsidR="008027AC" w:rsidRPr="00262DBF" w:rsidRDefault="008027AC" w:rsidP="00262DBF">
      <w:pPr>
        <w:pStyle w:val="Akapitzlist"/>
        <w:numPr>
          <w:ilvl w:val="0"/>
          <w:numId w:val="1"/>
        </w:numPr>
        <w:spacing w:line="360" w:lineRule="auto"/>
        <w:rPr>
          <w:rFonts w:ascii="Cambria" w:hAnsi="Cambria"/>
          <w:szCs w:val="24"/>
        </w:rPr>
      </w:pPr>
      <w:r w:rsidRPr="00262DBF">
        <w:rPr>
          <w:rFonts w:ascii="Cambria" w:hAnsi="Cambria"/>
          <w:szCs w:val="24"/>
        </w:rPr>
        <w:t>Treaty of Lisbon and criminal law</w:t>
      </w:r>
      <w:r w:rsidR="00B42850" w:rsidRPr="00262DBF">
        <w:rPr>
          <w:rFonts w:ascii="Cambria" w:hAnsi="Cambria"/>
          <w:szCs w:val="24"/>
        </w:rPr>
        <w:t xml:space="preserve"> (substantive and procedural)</w:t>
      </w:r>
    </w:p>
    <w:p w14:paraId="7C768673" w14:textId="3C87761E" w:rsidR="00D33B27" w:rsidRPr="00262DBF" w:rsidRDefault="00D33B27" w:rsidP="00262DBF">
      <w:pPr>
        <w:pStyle w:val="Akapitzlist"/>
        <w:numPr>
          <w:ilvl w:val="0"/>
          <w:numId w:val="1"/>
        </w:numPr>
        <w:spacing w:line="360" w:lineRule="auto"/>
        <w:rPr>
          <w:rFonts w:ascii="Cambria" w:hAnsi="Cambria"/>
          <w:szCs w:val="24"/>
        </w:rPr>
      </w:pPr>
      <w:r w:rsidRPr="00262DBF">
        <w:rPr>
          <w:rFonts w:ascii="Cambria" w:hAnsi="Cambria"/>
          <w:szCs w:val="24"/>
        </w:rPr>
        <w:t xml:space="preserve">Principle of conferral, proportionality and subsidiarity – criminal law aspects </w:t>
      </w:r>
    </w:p>
    <w:p w14:paraId="4D5A98F3" w14:textId="5A7EA84B" w:rsidR="008027AC" w:rsidRPr="00262DBF" w:rsidRDefault="008027AC" w:rsidP="00262DBF">
      <w:pPr>
        <w:pStyle w:val="Akapitzlist"/>
        <w:numPr>
          <w:ilvl w:val="0"/>
          <w:numId w:val="1"/>
        </w:numPr>
        <w:spacing w:line="360" w:lineRule="auto"/>
        <w:rPr>
          <w:rFonts w:ascii="Cambria" w:hAnsi="Cambria"/>
          <w:szCs w:val="24"/>
        </w:rPr>
      </w:pPr>
      <w:r w:rsidRPr="00262DBF">
        <w:rPr>
          <w:rFonts w:ascii="Cambria" w:hAnsi="Cambria"/>
          <w:szCs w:val="24"/>
        </w:rPr>
        <w:t xml:space="preserve">Harmonisation of substantive criminal law in the EU – legal basis and current state of harmonisation </w:t>
      </w:r>
    </w:p>
    <w:p w14:paraId="480B1E98" w14:textId="335B3B97" w:rsidR="00844465" w:rsidRPr="00262DBF" w:rsidRDefault="00844465" w:rsidP="00262DBF">
      <w:pPr>
        <w:pStyle w:val="Akapitzlist"/>
        <w:numPr>
          <w:ilvl w:val="0"/>
          <w:numId w:val="1"/>
        </w:numPr>
        <w:spacing w:line="360" w:lineRule="auto"/>
        <w:rPr>
          <w:rFonts w:ascii="Cambria" w:hAnsi="Cambria"/>
          <w:szCs w:val="24"/>
        </w:rPr>
      </w:pPr>
      <w:r w:rsidRPr="00262DBF">
        <w:rPr>
          <w:rFonts w:ascii="Cambria" w:hAnsi="Cambria"/>
          <w:szCs w:val="24"/>
        </w:rPr>
        <w:t xml:space="preserve">Human rights in the European Union </w:t>
      </w:r>
    </w:p>
    <w:p w14:paraId="4E09E63F" w14:textId="657B0632" w:rsidR="00C55324" w:rsidRPr="00262DBF" w:rsidRDefault="00C55324" w:rsidP="00262DBF">
      <w:pPr>
        <w:pStyle w:val="Akapitzlist"/>
        <w:numPr>
          <w:ilvl w:val="0"/>
          <w:numId w:val="1"/>
        </w:numPr>
        <w:spacing w:line="360" w:lineRule="auto"/>
        <w:rPr>
          <w:rFonts w:ascii="Cambria" w:hAnsi="Cambria"/>
          <w:szCs w:val="24"/>
        </w:rPr>
      </w:pPr>
      <w:r w:rsidRPr="00262DBF">
        <w:rPr>
          <w:rFonts w:ascii="Cambria" w:hAnsi="Cambria"/>
          <w:szCs w:val="24"/>
        </w:rPr>
        <w:t xml:space="preserve">The relevance of the ECtHR jurisprudence to the EU criminal proceedings </w:t>
      </w:r>
    </w:p>
    <w:p w14:paraId="2E972C13" w14:textId="2CDD07A1" w:rsidR="0013699F" w:rsidRPr="00262DBF" w:rsidRDefault="0013699F" w:rsidP="00262DBF">
      <w:pPr>
        <w:pStyle w:val="Akapitzlist"/>
        <w:numPr>
          <w:ilvl w:val="0"/>
          <w:numId w:val="1"/>
        </w:numPr>
        <w:spacing w:line="360" w:lineRule="auto"/>
        <w:rPr>
          <w:rFonts w:ascii="Cambria" w:hAnsi="Cambria"/>
          <w:szCs w:val="24"/>
        </w:rPr>
      </w:pPr>
      <w:r w:rsidRPr="00262DBF">
        <w:rPr>
          <w:rFonts w:ascii="Cambria" w:hAnsi="Cambria"/>
          <w:szCs w:val="24"/>
        </w:rPr>
        <w:t xml:space="preserve">The relevance of the CJEU jurisprudence in the criminal law </w:t>
      </w:r>
    </w:p>
    <w:p w14:paraId="4EFEB1F1" w14:textId="18A2E836" w:rsidR="00AE460D" w:rsidRPr="00262DBF" w:rsidRDefault="00AE460D" w:rsidP="00262DBF">
      <w:pPr>
        <w:pStyle w:val="Akapitzlist"/>
        <w:numPr>
          <w:ilvl w:val="0"/>
          <w:numId w:val="1"/>
        </w:numPr>
        <w:spacing w:line="360" w:lineRule="auto"/>
        <w:rPr>
          <w:rFonts w:ascii="Cambria" w:hAnsi="Cambria"/>
          <w:szCs w:val="24"/>
        </w:rPr>
      </w:pPr>
      <w:r w:rsidRPr="00262DBF">
        <w:rPr>
          <w:rFonts w:ascii="Cambria" w:hAnsi="Cambria"/>
          <w:szCs w:val="24"/>
        </w:rPr>
        <w:t xml:space="preserve">Right to a fair trial in the EU – criminal aspects </w:t>
      </w:r>
    </w:p>
    <w:p w14:paraId="35733F32" w14:textId="6229F6B0" w:rsidR="00AE460D" w:rsidRPr="00262DBF" w:rsidRDefault="00AE460D" w:rsidP="00262DBF">
      <w:pPr>
        <w:pStyle w:val="Akapitzlist"/>
        <w:numPr>
          <w:ilvl w:val="0"/>
          <w:numId w:val="1"/>
        </w:numPr>
        <w:spacing w:line="360" w:lineRule="auto"/>
        <w:rPr>
          <w:rFonts w:ascii="Cambria" w:hAnsi="Cambria"/>
          <w:szCs w:val="24"/>
        </w:rPr>
      </w:pPr>
      <w:r w:rsidRPr="00262DBF">
        <w:rPr>
          <w:rFonts w:ascii="Cambria" w:hAnsi="Cambria"/>
          <w:szCs w:val="24"/>
        </w:rPr>
        <w:t>TREVI group – definition, scope of competences, methods of cooperation</w:t>
      </w:r>
    </w:p>
    <w:p w14:paraId="7D53EBAE" w14:textId="7587D746" w:rsidR="0013699F" w:rsidRPr="00262DBF" w:rsidRDefault="0013699F" w:rsidP="00262DBF">
      <w:pPr>
        <w:pStyle w:val="Akapitzlist"/>
        <w:numPr>
          <w:ilvl w:val="0"/>
          <w:numId w:val="1"/>
        </w:numPr>
        <w:spacing w:line="360" w:lineRule="auto"/>
        <w:rPr>
          <w:rFonts w:ascii="Cambria" w:hAnsi="Cambria"/>
          <w:szCs w:val="24"/>
        </w:rPr>
      </w:pPr>
      <w:r w:rsidRPr="00262DBF">
        <w:rPr>
          <w:rFonts w:ascii="Cambria" w:hAnsi="Cambria"/>
          <w:szCs w:val="24"/>
        </w:rPr>
        <w:t xml:space="preserve">Right to effective judicial protection in the EU </w:t>
      </w:r>
    </w:p>
    <w:p w14:paraId="53017795" w14:textId="62DF516D" w:rsidR="008027AC" w:rsidRPr="00262DBF" w:rsidRDefault="008027AC" w:rsidP="00262DBF">
      <w:pPr>
        <w:pStyle w:val="Akapitzlist"/>
        <w:numPr>
          <w:ilvl w:val="0"/>
          <w:numId w:val="1"/>
        </w:numPr>
        <w:spacing w:line="360" w:lineRule="auto"/>
        <w:rPr>
          <w:rFonts w:ascii="Cambria" w:hAnsi="Cambria"/>
          <w:szCs w:val="24"/>
        </w:rPr>
      </w:pPr>
      <w:r w:rsidRPr="00262DBF">
        <w:rPr>
          <w:rFonts w:ascii="Cambria" w:hAnsi="Cambria"/>
          <w:szCs w:val="24"/>
        </w:rPr>
        <w:t xml:space="preserve">Fight against terrorism in the EU </w:t>
      </w:r>
      <w:r w:rsidR="0013699F" w:rsidRPr="00262DBF">
        <w:rPr>
          <w:rFonts w:ascii="Cambria" w:hAnsi="Cambria"/>
          <w:szCs w:val="24"/>
        </w:rPr>
        <w:t xml:space="preserve">– substantive criminal law and procedural law </w:t>
      </w:r>
    </w:p>
    <w:p w14:paraId="79097399" w14:textId="1608169B" w:rsidR="008027AC" w:rsidRPr="00262DBF" w:rsidRDefault="008027AC" w:rsidP="00262DBF">
      <w:pPr>
        <w:pStyle w:val="Akapitzlist"/>
        <w:numPr>
          <w:ilvl w:val="0"/>
          <w:numId w:val="1"/>
        </w:numPr>
        <w:spacing w:line="360" w:lineRule="auto"/>
        <w:rPr>
          <w:rFonts w:ascii="Cambria" w:hAnsi="Cambria"/>
          <w:szCs w:val="24"/>
        </w:rPr>
      </w:pPr>
      <w:r w:rsidRPr="00262DBF">
        <w:rPr>
          <w:rFonts w:ascii="Cambria" w:hAnsi="Cambria"/>
          <w:szCs w:val="24"/>
        </w:rPr>
        <w:t>Dat</w:t>
      </w:r>
      <w:r w:rsidR="006855A8" w:rsidRPr="00262DBF">
        <w:rPr>
          <w:rFonts w:ascii="Cambria" w:hAnsi="Cambria"/>
          <w:szCs w:val="24"/>
        </w:rPr>
        <w:t>a</w:t>
      </w:r>
      <w:r w:rsidRPr="00262DBF">
        <w:rPr>
          <w:rFonts w:ascii="Cambria" w:hAnsi="Cambria"/>
          <w:szCs w:val="24"/>
        </w:rPr>
        <w:t xml:space="preserve"> protection and right to privacy in the EU (including directive 2016/680)</w:t>
      </w:r>
    </w:p>
    <w:p w14:paraId="624560E7" w14:textId="4589AF76" w:rsidR="00AE460D" w:rsidRPr="00262DBF" w:rsidRDefault="00AE460D" w:rsidP="00262DBF">
      <w:pPr>
        <w:pStyle w:val="Akapitzlist"/>
        <w:numPr>
          <w:ilvl w:val="0"/>
          <w:numId w:val="1"/>
        </w:numPr>
        <w:spacing w:line="360" w:lineRule="auto"/>
        <w:rPr>
          <w:rFonts w:ascii="Cambria" w:hAnsi="Cambria"/>
          <w:szCs w:val="24"/>
        </w:rPr>
      </w:pPr>
      <w:r w:rsidRPr="00262DBF">
        <w:rPr>
          <w:rFonts w:ascii="Cambria" w:hAnsi="Cambria"/>
          <w:szCs w:val="24"/>
        </w:rPr>
        <w:t>Rules of data protection in the EU</w:t>
      </w:r>
    </w:p>
    <w:p w14:paraId="2147D3C8" w14:textId="3B9AEC97" w:rsidR="008027AC" w:rsidRPr="00262DBF" w:rsidRDefault="008027AC" w:rsidP="00262DBF">
      <w:pPr>
        <w:pStyle w:val="Akapitzlist"/>
        <w:numPr>
          <w:ilvl w:val="0"/>
          <w:numId w:val="1"/>
        </w:numPr>
        <w:spacing w:line="360" w:lineRule="auto"/>
        <w:rPr>
          <w:rFonts w:ascii="Cambria" w:hAnsi="Cambria"/>
          <w:szCs w:val="24"/>
        </w:rPr>
      </w:pPr>
      <w:r w:rsidRPr="00262DBF">
        <w:rPr>
          <w:rFonts w:ascii="Cambria" w:hAnsi="Cambria"/>
          <w:szCs w:val="24"/>
        </w:rPr>
        <w:t xml:space="preserve">Money laundering and protecting financial interests of the EU </w:t>
      </w:r>
    </w:p>
    <w:p w14:paraId="3F2697EA" w14:textId="68AC0BAE" w:rsidR="00AE460D" w:rsidRPr="00262DBF" w:rsidRDefault="00AE460D" w:rsidP="00262DBF">
      <w:pPr>
        <w:pStyle w:val="Akapitzlist"/>
        <w:numPr>
          <w:ilvl w:val="0"/>
          <w:numId w:val="1"/>
        </w:numPr>
        <w:spacing w:line="360" w:lineRule="auto"/>
        <w:rPr>
          <w:rFonts w:ascii="Cambria" w:hAnsi="Cambria"/>
          <w:szCs w:val="24"/>
        </w:rPr>
      </w:pPr>
      <w:r w:rsidRPr="00262DBF">
        <w:rPr>
          <w:rFonts w:ascii="Cambria" w:hAnsi="Cambria"/>
          <w:szCs w:val="24"/>
        </w:rPr>
        <w:t>European Public Prosecutor Office – definition, scope of competences</w:t>
      </w:r>
    </w:p>
    <w:p w14:paraId="417330DA" w14:textId="4DB2EFDB" w:rsidR="008027AC" w:rsidRPr="00262DBF" w:rsidRDefault="008027AC" w:rsidP="00262DBF">
      <w:pPr>
        <w:pStyle w:val="Akapitzlist"/>
        <w:numPr>
          <w:ilvl w:val="0"/>
          <w:numId w:val="1"/>
        </w:numPr>
        <w:spacing w:line="360" w:lineRule="auto"/>
        <w:rPr>
          <w:rFonts w:ascii="Cambria" w:hAnsi="Cambria"/>
          <w:szCs w:val="24"/>
        </w:rPr>
      </w:pPr>
      <w:r w:rsidRPr="00262DBF">
        <w:rPr>
          <w:rFonts w:ascii="Cambria" w:hAnsi="Cambria"/>
          <w:szCs w:val="24"/>
        </w:rPr>
        <w:t>Combating racism, xenophobia and hate speech in the EU</w:t>
      </w:r>
    </w:p>
    <w:p w14:paraId="2BDBAF1F" w14:textId="3A711785" w:rsidR="00AE460D" w:rsidRPr="00262DBF" w:rsidRDefault="00AE460D" w:rsidP="00262DBF">
      <w:pPr>
        <w:pStyle w:val="Akapitzlist"/>
        <w:numPr>
          <w:ilvl w:val="0"/>
          <w:numId w:val="1"/>
        </w:numPr>
        <w:spacing w:line="360" w:lineRule="auto"/>
        <w:rPr>
          <w:rFonts w:ascii="Cambria" w:hAnsi="Cambria"/>
          <w:szCs w:val="24"/>
        </w:rPr>
      </w:pPr>
      <w:r w:rsidRPr="00262DBF">
        <w:rPr>
          <w:rFonts w:ascii="Cambria" w:hAnsi="Cambria"/>
          <w:szCs w:val="24"/>
        </w:rPr>
        <w:t xml:space="preserve">Violence against women and domestic violence – combating </w:t>
      </w:r>
      <w:r w:rsidR="00EF4304" w:rsidRPr="00262DBF">
        <w:rPr>
          <w:rFonts w:ascii="Cambria" w:hAnsi="Cambria"/>
          <w:szCs w:val="24"/>
        </w:rPr>
        <w:t xml:space="preserve">and currents steps to safeguards women rights in the EU </w:t>
      </w:r>
    </w:p>
    <w:p w14:paraId="5F0C94B5" w14:textId="67C3A1A4" w:rsidR="00EF4304" w:rsidRPr="00262DBF" w:rsidRDefault="008027AC" w:rsidP="00262DBF">
      <w:pPr>
        <w:pStyle w:val="Akapitzlist"/>
        <w:numPr>
          <w:ilvl w:val="0"/>
          <w:numId w:val="1"/>
        </w:numPr>
        <w:spacing w:line="360" w:lineRule="auto"/>
        <w:rPr>
          <w:rFonts w:ascii="Cambria" w:hAnsi="Cambria"/>
          <w:szCs w:val="24"/>
        </w:rPr>
      </w:pPr>
      <w:r w:rsidRPr="00262DBF">
        <w:rPr>
          <w:rFonts w:ascii="Cambria" w:hAnsi="Cambria"/>
          <w:szCs w:val="24"/>
        </w:rPr>
        <w:t xml:space="preserve">Protection of children in the EU </w:t>
      </w:r>
      <w:r w:rsidR="006855A8" w:rsidRPr="00262DBF">
        <w:rPr>
          <w:rFonts w:ascii="Cambria" w:hAnsi="Cambria"/>
          <w:szCs w:val="24"/>
        </w:rPr>
        <w:t xml:space="preserve">(victim aspect) </w:t>
      </w:r>
    </w:p>
    <w:p w14:paraId="294E8A91" w14:textId="77777777" w:rsidR="008027AC" w:rsidRPr="00262DBF" w:rsidRDefault="008027AC" w:rsidP="00262DBF">
      <w:pPr>
        <w:pStyle w:val="Akapitzlist"/>
        <w:numPr>
          <w:ilvl w:val="0"/>
          <w:numId w:val="1"/>
        </w:numPr>
        <w:spacing w:line="360" w:lineRule="auto"/>
        <w:rPr>
          <w:rFonts w:ascii="Cambria" w:hAnsi="Cambria"/>
          <w:szCs w:val="24"/>
        </w:rPr>
      </w:pPr>
      <w:r w:rsidRPr="00262DBF">
        <w:rPr>
          <w:rFonts w:ascii="Cambria" w:hAnsi="Cambria"/>
          <w:szCs w:val="24"/>
        </w:rPr>
        <w:t xml:space="preserve">Human trafficking and states obligation to fight against this procedure </w:t>
      </w:r>
    </w:p>
    <w:p w14:paraId="22B359CC" w14:textId="77777777" w:rsidR="008027AC" w:rsidRPr="00262DBF" w:rsidRDefault="008027AC" w:rsidP="00262DBF">
      <w:pPr>
        <w:pStyle w:val="Akapitzlist"/>
        <w:numPr>
          <w:ilvl w:val="0"/>
          <w:numId w:val="1"/>
        </w:numPr>
        <w:spacing w:line="360" w:lineRule="auto"/>
        <w:rPr>
          <w:rFonts w:ascii="Cambria" w:hAnsi="Cambria"/>
          <w:szCs w:val="24"/>
        </w:rPr>
      </w:pPr>
      <w:r w:rsidRPr="00262DBF">
        <w:rPr>
          <w:rFonts w:ascii="Cambria" w:hAnsi="Cambria"/>
          <w:szCs w:val="24"/>
        </w:rPr>
        <w:t xml:space="preserve">Serious crimes in the EU – definition, adequacy of the list of offences </w:t>
      </w:r>
    </w:p>
    <w:p w14:paraId="3CB4F9BE" w14:textId="0260BF30" w:rsidR="0013699F" w:rsidRPr="00262DBF" w:rsidRDefault="0013699F" w:rsidP="00262DBF">
      <w:pPr>
        <w:pStyle w:val="Akapitzlist"/>
        <w:numPr>
          <w:ilvl w:val="0"/>
          <w:numId w:val="1"/>
        </w:numPr>
        <w:spacing w:line="360" w:lineRule="auto"/>
        <w:rPr>
          <w:rFonts w:ascii="Cambria" w:hAnsi="Cambria"/>
          <w:szCs w:val="24"/>
        </w:rPr>
      </w:pPr>
      <w:r w:rsidRPr="00262DBF">
        <w:rPr>
          <w:rFonts w:ascii="Cambria" w:hAnsi="Cambria"/>
          <w:szCs w:val="24"/>
        </w:rPr>
        <w:t xml:space="preserve"> Effective, proportionate and dissuasive penalties in the EU substantive criminal law </w:t>
      </w:r>
    </w:p>
    <w:p w14:paraId="0EFC4253" w14:textId="3A70CC2A" w:rsidR="008027AC" w:rsidRPr="00262DBF" w:rsidRDefault="008027AC" w:rsidP="00262DBF">
      <w:pPr>
        <w:pStyle w:val="Akapitzlist"/>
        <w:numPr>
          <w:ilvl w:val="0"/>
          <w:numId w:val="1"/>
        </w:numPr>
        <w:spacing w:line="360" w:lineRule="auto"/>
        <w:rPr>
          <w:rFonts w:ascii="Cambria" w:hAnsi="Cambria"/>
          <w:szCs w:val="24"/>
        </w:rPr>
      </w:pPr>
      <w:r w:rsidRPr="00262DBF">
        <w:rPr>
          <w:rFonts w:ascii="Cambria" w:hAnsi="Cambria"/>
          <w:szCs w:val="24"/>
        </w:rPr>
        <w:t xml:space="preserve">Effective investigative measures in the EU – definition, </w:t>
      </w:r>
      <w:r w:rsidR="00844465" w:rsidRPr="00262DBF">
        <w:rPr>
          <w:rFonts w:ascii="Cambria" w:hAnsi="Cambria"/>
          <w:szCs w:val="24"/>
        </w:rPr>
        <w:t>crimes when those measures are required</w:t>
      </w:r>
    </w:p>
    <w:p w14:paraId="14552FB7" w14:textId="3912F1A7" w:rsidR="00844465" w:rsidRPr="00262DBF" w:rsidRDefault="00844465" w:rsidP="00262DBF">
      <w:pPr>
        <w:pStyle w:val="Akapitzlist"/>
        <w:numPr>
          <w:ilvl w:val="0"/>
          <w:numId w:val="1"/>
        </w:numPr>
        <w:spacing w:line="360" w:lineRule="auto"/>
        <w:rPr>
          <w:rFonts w:ascii="Cambria" w:hAnsi="Cambria"/>
          <w:szCs w:val="24"/>
        </w:rPr>
      </w:pPr>
      <w:r w:rsidRPr="00262DBF">
        <w:rPr>
          <w:rFonts w:ascii="Cambria" w:hAnsi="Cambria"/>
          <w:szCs w:val="24"/>
        </w:rPr>
        <w:t>Victim</w:t>
      </w:r>
      <w:r w:rsidR="00AB4E80" w:rsidRPr="00262DBF">
        <w:rPr>
          <w:rFonts w:ascii="Cambria" w:hAnsi="Cambria"/>
          <w:szCs w:val="24"/>
        </w:rPr>
        <w:t>’s</w:t>
      </w:r>
      <w:r w:rsidRPr="00262DBF">
        <w:rPr>
          <w:rFonts w:ascii="Cambria" w:hAnsi="Cambria"/>
          <w:szCs w:val="24"/>
        </w:rPr>
        <w:t xml:space="preserve"> rights in the European criminal procedure </w:t>
      </w:r>
    </w:p>
    <w:p w14:paraId="066EFD44" w14:textId="610D1C01" w:rsidR="00844465" w:rsidRPr="00262DBF" w:rsidRDefault="00844465" w:rsidP="00262DBF">
      <w:pPr>
        <w:pStyle w:val="Akapitzlist"/>
        <w:numPr>
          <w:ilvl w:val="0"/>
          <w:numId w:val="1"/>
        </w:numPr>
        <w:spacing w:line="360" w:lineRule="auto"/>
        <w:rPr>
          <w:rFonts w:ascii="Cambria" w:hAnsi="Cambria"/>
          <w:szCs w:val="24"/>
        </w:rPr>
      </w:pPr>
      <w:r w:rsidRPr="00262DBF">
        <w:rPr>
          <w:rFonts w:ascii="Cambria" w:hAnsi="Cambria"/>
          <w:szCs w:val="24"/>
        </w:rPr>
        <w:t xml:space="preserve">Individual assessments of victim needs in the European criminal procedure </w:t>
      </w:r>
    </w:p>
    <w:p w14:paraId="4EF83D5C" w14:textId="7B4E2DE1" w:rsidR="00844465" w:rsidRPr="00262DBF" w:rsidRDefault="00844465" w:rsidP="00262DBF">
      <w:pPr>
        <w:pStyle w:val="Akapitzlist"/>
        <w:numPr>
          <w:ilvl w:val="0"/>
          <w:numId w:val="1"/>
        </w:numPr>
        <w:spacing w:line="360" w:lineRule="auto"/>
        <w:rPr>
          <w:rFonts w:ascii="Cambria" w:hAnsi="Cambria"/>
          <w:szCs w:val="24"/>
        </w:rPr>
      </w:pPr>
      <w:r w:rsidRPr="00262DBF">
        <w:rPr>
          <w:rFonts w:ascii="Cambria" w:hAnsi="Cambria"/>
          <w:szCs w:val="24"/>
        </w:rPr>
        <w:t>Protection of victims in the EU (directive 2012/29 and European Protection Order)</w:t>
      </w:r>
    </w:p>
    <w:p w14:paraId="01430961" w14:textId="340C775A" w:rsidR="00844465" w:rsidRPr="00262DBF" w:rsidRDefault="00844465" w:rsidP="00262DBF">
      <w:pPr>
        <w:pStyle w:val="Akapitzlist"/>
        <w:numPr>
          <w:ilvl w:val="0"/>
          <w:numId w:val="1"/>
        </w:numPr>
        <w:spacing w:line="360" w:lineRule="auto"/>
        <w:rPr>
          <w:rFonts w:ascii="Cambria" w:hAnsi="Cambria"/>
          <w:szCs w:val="24"/>
        </w:rPr>
      </w:pPr>
      <w:r w:rsidRPr="00262DBF">
        <w:rPr>
          <w:rFonts w:ascii="Cambria" w:hAnsi="Cambria"/>
          <w:szCs w:val="24"/>
        </w:rPr>
        <w:t xml:space="preserve">Victim right to compensation </w:t>
      </w:r>
    </w:p>
    <w:p w14:paraId="5D4B8D7D" w14:textId="5574407A" w:rsidR="00844465" w:rsidRPr="00262DBF" w:rsidRDefault="00844465" w:rsidP="00262DBF">
      <w:pPr>
        <w:pStyle w:val="Akapitzlist"/>
        <w:numPr>
          <w:ilvl w:val="0"/>
          <w:numId w:val="1"/>
        </w:numPr>
        <w:spacing w:line="360" w:lineRule="auto"/>
        <w:rPr>
          <w:rFonts w:ascii="Cambria" w:hAnsi="Cambria"/>
          <w:szCs w:val="24"/>
        </w:rPr>
      </w:pPr>
      <w:r w:rsidRPr="00262DBF">
        <w:rPr>
          <w:rFonts w:ascii="Cambria" w:hAnsi="Cambria"/>
          <w:szCs w:val="24"/>
        </w:rPr>
        <w:t>Restorative justice – definition, basic principles</w:t>
      </w:r>
    </w:p>
    <w:p w14:paraId="67DA6F32" w14:textId="6D3F016E" w:rsidR="00844465" w:rsidRPr="00262DBF" w:rsidRDefault="00AB4E80" w:rsidP="00262DBF">
      <w:pPr>
        <w:pStyle w:val="Akapitzlist"/>
        <w:numPr>
          <w:ilvl w:val="0"/>
          <w:numId w:val="1"/>
        </w:numPr>
        <w:spacing w:line="360" w:lineRule="auto"/>
        <w:rPr>
          <w:rFonts w:ascii="Cambria" w:hAnsi="Cambria"/>
          <w:szCs w:val="24"/>
        </w:rPr>
      </w:pPr>
      <w:r w:rsidRPr="00262DBF">
        <w:rPr>
          <w:rFonts w:ascii="Cambria" w:hAnsi="Cambria"/>
          <w:szCs w:val="24"/>
        </w:rPr>
        <w:t>R</w:t>
      </w:r>
      <w:r w:rsidR="00844465" w:rsidRPr="00262DBF">
        <w:rPr>
          <w:rFonts w:ascii="Cambria" w:hAnsi="Cambria"/>
          <w:szCs w:val="24"/>
        </w:rPr>
        <w:t xml:space="preserve">ights </w:t>
      </w:r>
      <w:r w:rsidRPr="00262DBF">
        <w:rPr>
          <w:rFonts w:ascii="Cambria" w:hAnsi="Cambria"/>
          <w:szCs w:val="24"/>
        </w:rPr>
        <w:t xml:space="preserve">of a suspect/accused </w:t>
      </w:r>
      <w:r w:rsidR="00844465" w:rsidRPr="00262DBF">
        <w:rPr>
          <w:rFonts w:ascii="Cambria" w:hAnsi="Cambria"/>
          <w:szCs w:val="24"/>
        </w:rPr>
        <w:t xml:space="preserve">in the EU (historical aspect and current status) </w:t>
      </w:r>
    </w:p>
    <w:p w14:paraId="2526D8A4" w14:textId="38713E4F" w:rsidR="00AB4E80" w:rsidRPr="00262DBF" w:rsidRDefault="00AB4E80" w:rsidP="00262DBF">
      <w:pPr>
        <w:pStyle w:val="Akapitzlist"/>
        <w:numPr>
          <w:ilvl w:val="0"/>
          <w:numId w:val="1"/>
        </w:numPr>
        <w:spacing w:line="360" w:lineRule="auto"/>
        <w:rPr>
          <w:rFonts w:ascii="Cambria" w:hAnsi="Cambria"/>
          <w:szCs w:val="24"/>
        </w:rPr>
      </w:pPr>
      <w:r w:rsidRPr="00262DBF">
        <w:rPr>
          <w:rFonts w:ascii="Cambria" w:hAnsi="Cambria"/>
          <w:szCs w:val="24"/>
        </w:rPr>
        <w:t>The Convention minimum standard for the procedural rights of the accused in a criminal process</w:t>
      </w:r>
    </w:p>
    <w:p w14:paraId="6F5A2D8E" w14:textId="5C00C798" w:rsidR="00844465" w:rsidRPr="00262DBF" w:rsidRDefault="00844465" w:rsidP="00262DBF">
      <w:pPr>
        <w:pStyle w:val="Akapitzlist"/>
        <w:numPr>
          <w:ilvl w:val="0"/>
          <w:numId w:val="1"/>
        </w:numPr>
        <w:spacing w:line="360" w:lineRule="auto"/>
        <w:rPr>
          <w:rFonts w:ascii="Cambria" w:hAnsi="Cambria"/>
          <w:szCs w:val="24"/>
        </w:rPr>
      </w:pPr>
      <w:r w:rsidRPr="00262DBF">
        <w:rPr>
          <w:rFonts w:ascii="Cambria" w:hAnsi="Cambria"/>
          <w:szCs w:val="24"/>
        </w:rPr>
        <w:t>Suspect</w:t>
      </w:r>
      <w:r w:rsidR="00AB4E80" w:rsidRPr="00262DBF">
        <w:rPr>
          <w:rFonts w:ascii="Cambria" w:hAnsi="Cambria"/>
          <w:szCs w:val="24"/>
        </w:rPr>
        <w:t>’s</w:t>
      </w:r>
      <w:r w:rsidR="006855A8" w:rsidRPr="00262DBF">
        <w:rPr>
          <w:rFonts w:ascii="Cambria" w:hAnsi="Cambria"/>
          <w:szCs w:val="24"/>
        </w:rPr>
        <w:t>/accused’s</w:t>
      </w:r>
      <w:r w:rsidRPr="00262DBF">
        <w:rPr>
          <w:rFonts w:ascii="Cambria" w:hAnsi="Cambria"/>
          <w:szCs w:val="24"/>
        </w:rPr>
        <w:t xml:space="preserve"> </w:t>
      </w:r>
      <w:r w:rsidR="00AB4E80" w:rsidRPr="00262DBF">
        <w:rPr>
          <w:rFonts w:ascii="Cambria" w:hAnsi="Cambria"/>
          <w:szCs w:val="24"/>
        </w:rPr>
        <w:t>r</w:t>
      </w:r>
      <w:r w:rsidRPr="00262DBF">
        <w:rPr>
          <w:rFonts w:ascii="Cambria" w:hAnsi="Cambria"/>
          <w:szCs w:val="24"/>
        </w:rPr>
        <w:t>ight to translation</w:t>
      </w:r>
      <w:r w:rsidR="00AB4E80" w:rsidRPr="00262DBF">
        <w:rPr>
          <w:rFonts w:ascii="Cambria" w:hAnsi="Cambria"/>
          <w:szCs w:val="24"/>
        </w:rPr>
        <w:t xml:space="preserve"> in criminal procedure (directive 2010/64)</w:t>
      </w:r>
    </w:p>
    <w:p w14:paraId="03794A37" w14:textId="2C04EB72" w:rsidR="00844465" w:rsidRPr="00262DBF" w:rsidRDefault="00AB4E80" w:rsidP="00262DBF">
      <w:pPr>
        <w:pStyle w:val="Akapitzlist"/>
        <w:numPr>
          <w:ilvl w:val="0"/>
          <w:numId w:val="1"/>
        </w:numPr>
        <w:spacing w:line="360" w:lineRule="auto"/>
        <w:rPr>
          <w:rFonts w:ascii="Cambria" w:hAnsi="Cambria"/>
          <w:szCs w:val="24"/>
        </w:rPr>
      </w:pPr>
      <w:r w:rsidRPr="00262DBF">
        <w:rPr>
          <w:rFonts w:ascii="Cambria" w:hAnsi="Cambria"/>
          <w:szCs w:val="24"/>
        </w:rPr>
        <w:lastRenderedPageBreak/>
        <w:t>Right to information about rights and obligations in criminal procedure (directive 2012/13)</w:t>
      </w:r>
    </w:p>
    <w:p w14:paraId="0A3AA580" w14:textId="1E00D319" w:rsidR="00D33B27" w:rsidRPr="00262DBF" w:rsidRDefault="00D33B27" w:rsidP="00262DBF">
      <w:pPr>
        <w:pStyle w:val="Akapitzlist"/>
        <w:numPr>
          <w:ilvl w:val="0"/>
          <w:numId w:val="1"/>
        </w:numPr>
        <w:spacing w:line="360" w:lineRule="auto"/>
        <w:rPr>
          <w:rFonts w:ascii="Cambria" w:hAnsi="Cambria"/>
          <w:szCs w:val="24"/>
        </w:rPr>
      </w:pPr>
      <w:r w:rsidRPr="00262DBF">
        <w:rPr>
          <w:rFonts w:ascii="Cambria" w:hAnsi="Cambria"/>
          <w:szCs w:val="24"/>
        </w:rPr>
        <w:t xml:space="preserve">Rights of an arrested person in the EU </w:t>
      </w:r>
    </w:p>
    <w:p w14:paraId="34865E76" w14:textId="540FE916" w:rsidR="00AB4E80" w:rsidRPr="00262DBF" w:rsidRDefault="00AB4E80" w:rsidP="00262DBF">
      <w:pPr>
        <w:pStyle w:val="Akapitzlist"/>
        <w:numPr>
          <w:ilvl w:val="0"/>
          <w:numId w:val="1"/>
        </w:numPr>
        <w:spacing w:line="360" w:lineRule="auto"/>
        <w:rPr>
          <w:rFonts w:ascii="Cambria" w:hAnsi="Cambria"/>
          <w:szCs w:val="24"/>
        </w:rPr>
      </w:pPr>
      <w:r w:rsidRPr="00262DBF">
        <w:rPr>
          <w:rFonts w:ascii="Cambria" w:hAnsi="Cambria"/>
          <w:szCs w:val="24"/>
        </w:rPr>
        <w:t>Right to access to a case file in pre-trial and court trial criminal procedure (directive 2012/13)</w:t>
      </w:r>
    </w:p>
    <w:p w14:paraId="016DCE82" w14:textId="3B7F77B1" w:rsidR="00AB4E80" w:rsidRPr="00262DBF" w:rsidRDefault="00AB4E80" w:rsidP="00262DBF">
      <w:pPr>
        <w:pStyle w:val="Akapitzlist"/>
        <w:numPr>
          <w:ilvl w:val="0"/>
          <w:numId w:val="1"/>
        </w:numPr>
        <w:spacing w:line="360" w:lineRule="auto"/>
        <w:rPr>
          <w:rFonts w:ascii="Cambria" w:hAnsi="Cambria"/>
          <w:szCs w:val="24"/>
        </w:rPr>
      </w:pPr>
      <w:r w:rsidRPr="00262DBF">
        <w:rPr>
          <w:rFonts w:ascii="Cambria" w:hAnsi="Cambria"/>
          <w:szCs w:val="24"/>
        </w:rPr>
        <w:t>Right to access to a lawyer (directive 2013/48</w:t>
      </w:r>
      <w:r w:rsidR="006855A8" w:rsidRPr="00262DBF">
        <w:rPr>
          <w:rFonts w:ascii="Cambria" w:hAnsi="Cambria"/>
          <w:szCs w:val="24"/>
        </w:rPr>
        <w:t>, 2016/800</w:t>
      </w:r>
      <w:r w:rsidRPr="00262DBF">
        <w:rPr>
          <w:rFonts w:ascii="Cambria" w:hAnsi="Cambria"/>
          <w:szCs w:val="24"/>
        </w:rPr>
        <w:t xml:space="preserve">) and possible restrictions </w:t>
      </w:r>
    </w:p>
    <w:p w14:paraId="7041B46E" w14:textId="514455A0" w:rsidR="00AB4E80" w:rsidRPr="00262DBF" w:rsidRDefault="00AB4E80" w:rsidP="00262DBF">
      <w:pPr>
        <w:pStyle w:val="Akapitzlist"/>
        <w:numPr>
          <w:ilvl w:val="0"/>
          <w:numId w:val="1"/>
        </w:numPr>
        <w:spacing w:line="360" w:lineRule="auto"/>
        <w:rPr>
          <w:rFonts w:ascii="Cambria" w:hAnsi="Cambria"/>
          <w:szCs w:val="24"/>
        </w:rPr>
      </w:pPr>
      <w:r w:rsidRPr="00262DBF">
        <w:rPr>
          <w:rFonts w:ascii="Cambria" w:hAnsi="Cambria"/>
          <w:szCs w:val="24"/>
        </w:rPr>
        <w:t xml:space="preserve">Right to legal aid (directive </w:t>
      </w:r>
      <w:r w:rsidR="006855A8" w:rsidRPr="00262DBF">
        <w:rPr>
          <w:rFonts w:ascii="Cambria" w:hAnsi="Cambria"/>
          <w:szCs w:val="24"/>
        </w:rPr>
        <w:t>2013/48</w:t>
      </w:r>
      <w:r w:rsidR="00C55324" w:rsidRPr="00262DBF">
        <w:rPr>
          <w:rFonts w:ascii="Cambria" w:hAnsi="Cambria"/>
          <w:szCs w:val="24"/>
        </w:rPr>
        <w:t>, 2016/800</w:t>
      </w:r>
      <w:r w:rsidR="006855A8" w:rsidRPr="00262DBF">
        <w:rPr>
          <w:rFonts w:ascii="Cambria" w:hAnsi="Cambria"/>
          <w:szCs w:val="24"/>
        </w:rPr>
        <w:t xml:space="preserve"> and </w:t>
      </w:r>
      <w:r w:rsidRPr="00262DBF">
        <w:rPr>
          <w:rFonts w:ascii="Cambria" w:hAnsi="Cambria"/>
          <w:szCs w:val="24"/>
        </w:rPr>
        <w:t>2016/1919)</w:t>
      </w:r>
      <w:r w:rsidR="006855A8" w:rsidRPr="00262DBF">
        <w:rPr>
          <w:rFonts w:ascii="Cambria" w:hAnsi="Cambria"/>
          <w:szCs w:val="24"/>
        </w:rPr>
        <w:t xml:space="preserve"> </w:t>
      </w:r>
    </w:p>
    <w:p w14:paraId="6DBEB923" w14:textId="0DC36BAC" w:rsidR="006855A8" w:rsidRPr="00262DBF" w:rsidRDefault="006855A8" w:rsidP="00262DBF">
      <w:pPr>
        <w:pStyle w:val="Akapitzlist"/>
        <w:numPr>
          <w:ilvl w:val="0"/>
          <w:numId w:val="1"/>
        </w:numPr>
        <w:spacing w:line="360" w:lineRule="auto"/>
        <w:rPr>
          <w:rFonts w:ascii="Cambria" w:hAnsi="Cambria"/>
          <w:szCs w:val="24"/>
        </w:rPr>
      </w:pPr>
      <w:r w:rsidRPr="00262DBF">
        <w:rPr>
          <w:rFonts w:ascii="Cambria" w:hAnsi="Cambria"/>
          <w:szCs w:val="24"/>
        </w:rPr>
        <w:t>Ex officio legal aid in the EU (directive 2016/1919)</w:t>
      </w:r>
    </w:p>
    <w:p w14:paraId="2CB17AF0" w14:textId="26FD2F7C" w:rsidR="00AB4E80" w:rsidRPr="00262DBF" w:rsidRDefault="00AB4E80" w:rsidP="00262DBF">
      <w:pPr>
        <w:pStyle w:val="Akapitzlist"/>
        <w:numPr>
          <w:ilvl w:val="0"/>
          <w:numId w:val="1"/>
        </w:numPr>
        <w:spacing w:line="360" w:lineRule="auto"/>
        <w:rPr>
          <w:rFonts w:ascii="Cambria" w:hAnsi="Cambria"/>
          <w:szCs w:val="24"/>
        </w:rPr>
      </w:pPr>
      <w:r w:rsidRPr="00262DBF">
        <w:rPr>
          <w:rFonts w:ascii="Cambria" w:hAnsi="Cambria"/>
          <w:szCs w:val="24"/>
        </w:rPr>
        <w:t>Lawyer-client privilege in the EU and its exceptions (directive 2013/48)</w:t>
      </w:r>
    </w:p>
    <w:p w14:paraId="1DB55414" w14:textId="1AA42C51" w:rsidR="00AB4E80" w:rsidRPr="00262DBF" w:rsidRDefault="00AB4E80" w:rsidP="00262DBF">
      <w:pPr>
        <w:pStyle w:val="Akapitzlist"/>
        <w:numPr>
          <w:ilvl w:val="0"/>
          <w:numId w:val="1"/>
        </w:numPr>
        <w:spacing w:line="360" w:lineRule="auto"/>
        <w:rPr>
          <w:rFonts w:ascii="Cambria" w:hAnsi="Cambria"/>
          <w:szCs w:val="24"/>
        </w:rPr>
      </w:pPr>
      <w:r w:rsidRPr="00262DBF">
        <w:rPr>
          <w:rFonts w:ascii="Cambria" w:hAnsi="Cambria"/>
          <w:szCs w:val="24"/>
        </w:rPr>
        <w:t>Presumption of innocence in the EU criminal procedure (directive 2016/343)</w:t>
      </w:r>
      <w:r w:rsidR="006855A8" w:rsidRPr="00262DBF">
        <w:rPr>
          <w:rFonts w:ascii="Cambria" w:hAnsi="Cambria"/>
          <w:szCs w:val="24"/>
        </w:rPr>
        <w:t xml:space="preserve"> – definition, importance of this guarantee, scope of presumption of innocence in the EU</w:t>
      </w:r>
    </w:p>
    <w:p w14:paraId="67C6FF17" w14:textId="5D7F37F7" w:rsidR="00AB4E80" w:rsidRPr="00262DBF" w:rsidRDefault="00AB4E80" w:rsidP="00262DBF">
      <w:pPr>
        <w:pStyle w:val="Akapitzlist"/>
        <w:numPr>
          <w:ilvl w:val="0"/>
          <w:numId w:val="1"/>
        </w:numPr>
        <w:spacing w:line="360" w:lineRule="auto"/>
        <w:rPr>
          <w:rFonts w:ascii="Cambria" w:hAnsi="Cambria"/>
          <w:szCs w:val="24"/>
        </w:rPr>
      </w:pPr>
      <w:r w:rsidRPr="00262DBF">
        <w:rPr>
          <w:rFonts w:ascii="Cambria" w:hAnsi="Cambria"/>
          <w:szCs w:val="24"/>
        </w:rPr>
        <w:t>Right to not incriminate oneself in the EU criminal procedure (directive 2016/343)</w:t>
      </w:r>
      <w:r w:rsidR="006855A8" w:rsidRPr="00262DBF">
        <w:rPr>
          <w:rFonts w:ascii="Cambria" w:hAnsi="Cambria"/>
          <w:szCs w:val="24"/>
        </w:rPr>
        <w:t xml:space="preserve"> - definition, importance of this guarantee, scope of right to not incriminate oneself</w:t>
      </w:r>
    </w:p>
    <w:p w14:paraId="623F4C07" w14:textId="49B29825" w:rsidR="00AB4E80" w:rsidRPr="00262DBF" w:rsidRDefault="00AB4E80" w:rsidP="00262DBF">
      <w:pPr>
        <w:pStyle w:val="Akapitzlist"/>
        <w:numPr>
          <w:ilvl w:val="0"/>
          <w:numId w:val="1"/>
        </w:numPr>
        <w:spacing w:line="360" w:lineRule="auto"/>
        <w:rPr>
          <w:rFonts w:ascii="Cambria" w:hAnsi="Cambria"/>
          <w:szCs w:val="24"/>
        </w:rPr>
      </w:pPr>
      <w:r w:rsidRPr="00262DBF">
        <w:rPr>
          <w:rFonts w:ascii="Cambria" w:hAnsi="Cambria"/>
          <w:szCs w:val="24"/>
        </w:rPr>
        <w:t>Right to be present in the criminal trial (directive 2016/343)</w:t>
      </w:r>
    </w:p>
    <w:p w14:paraId="6D714D69" w14:textId="38A854E0" w:rsidR="00AB4E80" w:rsidRPr="00262DBF" w:rsidRDefault="006855A8" w:rsidP="00262DBF">
      <w:pPr>
        <w:pStyle w:val="Akapitzlist"/>
        <w:numPr>
          <w:ilvl w:val="0"/>
          <w:numId w:val="1"/>
        </w:numPr>
        <w:spacing w:line="360" w:lineRule="auto"/>
        <w:rPr>
          <w:rFonts w:ascii="Cambria" w:hAnsi="Cambria"/>
          <w:szCs w:val="24"/>
        </w:rPr>
      </w:pPr>
      <w:r w:rsidRPr="00262DBF">
        <w:rPr>
          <w:rFonts w:ascii="Cambria" w:hAnsi="Cambria"/>
          <w:szCs w:val="24"/>
        </w:rPr>
        <w:t xml:space="preserve">Waiver of the rights of the suspect/accused – conditions of a waiver and scope of this decision   </w:t>
      </w:r>
    </w:p>
    <w:p w14:paraId="2CCCE1BA" w14:textId="01F35C83" w:rsidR="006855A8" w:rsidRPr="00262DBF" w:rsidRDefault="006855A8" w:rsidP="00262DBF">
      <w:pPr>
        <w:pStyle w:val="Akapitzlist"/>
        <w:numPr>
          <w:ilvl w:val="0"/>
          <w:numId w:val="1"/>
        </w:numPr>
        <w:spacing w:line="360" w:lineRule="auto"/>
        <w:rPr>
          <w:rFonts w:ascii="Cambria" w:hAnsi="Cambria"/>
          <w:szCs w:val="24"/>
        </w:rPr>
      </w:pPr>
      <w:r w:rsidRPr="00262DBF">
        <w:rPr>
          <w:rFonts w:ascii="Cambria" w:hAnsi="Cambria"/>
          <w:szCs w:val="24"/>
        </w:rPr>
        <w:t xml:space="preserve">Vulnerable suspect/accused– definition, individual assessment of needs in criminal proceedings </w:t>
      </w:r>
    </w:p>
    <w:p w14:paraId="4861B119" w14:textId="220800AE" w:rsidR="006855A8" w:rsidRPr="00262DBF" w:rsidRDefault="006855A8" w:rsidP="00262DBF">
      <w:pPr>
        <w:pStyle w:val="Akapitzlist"/>
        <w:numPr>
          <w:ilvl w:val="0"/>
          <w:numId w:val="1"/>
        </w:numPr>
        <w:spacing w:line="360" w:lineRule="auto"/>
        <w:rPr>
          <w:rFonts w:ascii="Cambria" w:hAnsi="Cambria"/>
          <w:szCs w:val="24"/>
        </w:rPr>
      </w:pPr>
      <w:r w:rsidRPr="00262DBF">
        <w:rPr>
          <w:rFonts w:ascii="Cambria" w:hAnsi="Cambria"/>
          <w:szCs w:val="24"/>
        </w:rPr>
        <w:t xml:space="preserve">Rights of a child in criminal procedure – suspect/accused aspect (directive 2016/800) </w:t>
      </w:r>
    </w:p>
    <w:p w14:paraId="280EC56A" w14:textId="40B9F38E" w:rsidR="006855A8" w:rsidRPr="00262DBF" w:rsidRDefault="006855A8" w:rsidP="00262DBF">
      <w:pPr>
        <w:pStyle w:val="Akapitzlist"/>
        <w:numPr>
          <w:ilvl w:val="0"/>
          <w:numId w:val="1"/>
        </w:numPr>
        <w:spacing w:line="360" w:lineRule="auto"/>
        <w:rPr>
          <w:rFonts w:ascii="Cambria" w:hAnsi="Cambria"/>
          <w:szCs w:val="24"/>
        </w:rPr>
      </w:pPr>
      <w:r w:rsidRPr="00262DBF">
        <w:rPr>
          <w:rFonts w:ascii="Cambria" w:hAnsi="Cambria"/>
          <w:szCs w:val="24"/>
        </w:rPr>
        <w:t>Remedies for violation of the rights of the accused in the directives 2013/48, 2016/343, 2016/1919</w:t>
      </w:r>
    </w:p>
    <w:p w14:paraId="16E5B7FD" w14:textId="6877635E" w:rsidR="00D33B27" w:rsidRPr="00262DBF" w:rsidRDefault="00D33B27" w:rsidP="00262DBF">
      <w:pPr>
        <w:pStyle w:val="Akapitzlist"/>
        <w:numPr>
          <w:ilvl w:val="0"/>
          <w:numId w:val="1"/>
        </w:numPr>
        <w:spacing w:line="360" w:lineRule="auto"/>
        <w:rPr>
          <w:rFonts w:ascii="Cambria" w:hAnsi="Cambria"/>
          <w:szCs w:val="24"/>
        </w:rPr>
      </w:pPr>
      <w:r w:rsidRPr="00262DBF">
        <w:rPr>
          <w:rFonts w:ascii="Cambria" w:hAnsi="Cambria"/>
          <w:szCs w:val="24"/>
        </w:rPr>
        <w:t xml:space="preserve">Evidentiary aspects of the EU criminal procedure </w:t>
      </w:r>
    </w:p>
    <w:p w14:paraId="51397E28" w14:textId="548C999F" w:rsidR="00813F27" w:rsidRPr="00262DBF" w:rsidRDefault="006855A8" w:rsidP="00262DBF">
      <w:pPr>
        <w:spacing w:line="360" w:lineRule="auto"/>
        <w:rPr>
          <w:rFonts w:ascii="Cambria" w:hAnsi="Cambria"/>
          <w:b/>
          <w:bCs/>
          <w:szCs w:val="24"/>
        </w:rPr>
      </w:pPr>
      <w:r w:rsidRPr="00262DBF">
        <w:rPr>
          <w:rFonts w:ascii="Cambria" w:hAnsi="Cambria"/>
          <w:szCs w:val="24"/>
        </w:rPr>
        <w:t xml:space="preserve"> </w:t>
      </w:r>
    </w:p>
    <w:p w14:paraId="25A9B7D9" w14:textId="77777777" w:rsidR="00813F27" w:rsidRPr="00262DBF" w:rsidRDefault="00813F27" w:rsidP="00262DBF">
      <w:pPr>
        <w:spacing w:line="360" w:lineRule="auto"/>
        <w:ind w:left="720" w:hanging="360"/>
        <w:rPr>
          <w:rFonts w:ascii="Cambria" w:hAnsi="Cambria"/>
          <w:b/>
          <w:bCs/>
          <w:szCs w:val="24"/>
        </w:rPr>
      </w:pPr>
      <w:r w:rsidRPr="00262DBF">
        <w:rPr>
          <w:rFonts w:ascii="Cambria" w:hAnsi="Cambria"/>
          <w:b/>
          <w:bCs/>
          <w:szCs w:val="24"/>
        </w:rPr>
        <w:t xml:space="preserve">Cooperation in criminal matters </w:t>
      </w:r>
    </w:p>
    <w:p w14:paraId="1B53AB4B" w14:textId="77777777" w:rsidR="00813F27" w:rsidRPr="00262DBF" w:rsidRDefault="00813F27" w:rsidP="00262DBF">
      <w:pPr>
        <w:pStyle w:val="Akapitzlist"/>
        <w:numPr>
          <w:ilvl w:val="0"/>
          <w:numId w:val="4"/>
        </w:numPr>
        <w:spacing w:line="360" w:lineRule="auto"/>
        <w:rPr>
          <w:rFonts w:ascii="Cambria" w:hAnsi="Cambria"/>
          <w:szCs w:val="24"/>
        </w:rPr>
      </w:pPr>
      <w:r w:rsidRPr="00262DBF">
        <w:rPr>
          <w:rFonts w:ascii="Cambria" w:hAnsi="Cambria"/>
          <w:szCs w:val="24"/>
        </w:rPr>
        <w:t>Principle of mutual recognition in the EU. Exceptions of mutual recognition of judgments</w:t>
      </w:r>
    </w:p>
    <w:p w14:paraId="2B4EE0DA" w14:textId="6D32C846" w:rsidR="0080511D" w:rsidRPr="00262DBF" w:rsidRDefault="0080511D" w:rsidP="00262DBF">
      <w:pPr>
        <w:pStyle w:val="Akapitzlist"/>
        <w:numPr>
          <w:ilvl w:val="0"/>
          <w:numId w:val="4"/>
        </w:numPr>
        <w:spacing w:line="360" w:lineRule="auto"/>
        <w:rPr>
          <w:rFonts w:ascii="Cambria" w:hAnsi="Cambria"/>
          <w:szCs w:val="24"/>
        </w:rPr>
      </w:pPr>
      <w:r w:rsidRPr="00262DBF">
        <w:rPr>
          <w:rFonts w:ascii="Cambria" w:hAnsi="Cambria"/>
          <w:szCs w:val="24"/>
        </w:rPr>
        <w:t>The role of the Court of Justice of the European Union (CJEU) in interpreting mutual recognition principles</w:t>
      </w:r>
    </w:p>
    <w:p w14:paraId="73DF1078" w14:textId="77777777" w:rsidR="00813F27" w:rsidRPr="00262DBF" w:rsidRDefault="00813F27" w:rsidP="00262DBF">
      <w:pPr>
        <w:pStyle w:val="Akapitzlist"/>
        <w:numPr>
          <w:ilvl w:val="0"/>
          <w:numId w:val="4"/>
        </w:numPr>
        <w:spacing w:line="360" w:lineRule="auto"/>
        <w:rPr>
          <w:rFonts w:ascii="Cambria" w:hAnsi="Cambria"/>
          <w:szCs w:val="24"/>
        </w:rPr>
      </w:pPr>
      <w:r w:rsidRPr="00262DBF">
        <w:rPr>
          <w:rFonts w:ascii="Cambria" w:hAnsi="Cambria"/>
          <w:szCs w:val="24"/>
        </w:rPr>
        <w:t>Mutual trust in the European Union – definition, importance of the principle</w:t>
      </w:r>
    </w:p>
    <w:p w14:paraId="4F87BC96" w14:textId="7C416DF0" w:rsidR="00813F27" w:rsidRPr="00262DBF" w:rsidRDefault="00813F27" w:rsidP="00262DBF">
      <w:pPr>
        <w:pStyle w:val="Akapitzlist"/>
        <w:numPr>
          <w:ilvl w:val="0"/>
          <w:numId w:val="4"/>
        </w:numPr>
        <w:spacing w:line="360" w:lineRule="auto"/>
        <w:rPr>
          <w:rFonts w:ascii="Cambria" w:hAnsi="Cambria"/>
          <w:szCs w:val="24"/>
        </w:rPr>
      </w:pPr>
      <w:r w:rsidRPr="00262DBF">
        <w:rPr>
          <w:rFonts w:ascii="Cambria" w:hAnsi="Cambria"/>
          <w:szCs w:val="24"/>
        </w:rPr>
        <w:t xml:space="preserve">Human rights </w:t>
      </w:r>
      <w:r w:rsidR="00F921D9" w:rsidRPr="00262DBF">
        <w:rPr>
          <w:rFonts w:ascii="Cambria" w:hAnsi="Cambria"/>
          <w:szCs w:val="24"/>
        </w:rPr>
        <w:t>and functioning of mutual recognition of judgments</w:t>
      </w:r>
    </w:p>
    <w:p w14:paraId="45D6C1FE" w14:textId="50313147" w:rsidR="0080511D" w:rsidRPr="00262DBF" w:rsidRDefault="0080511D" w:rsidP="00262DBF">
      <w:pPr>
        <w:pStyle w:val="Akapitzlist"/>
        <w:numPr>
          <w:ilvl w:val="0"/>
          <w:numId w:val="4"/>
        </w:numPr>
        <w:spacing w:line="360" w:lineRule="auto"/>
        <w:rPr>
          <w:rFonts w:ascii="Cambria" w:hAnsi="Cambria"/>
          <w:szCs w:val="24"/>
        </w:rPr>
      </w:pPr>
      <w:r w:rsidRPr="00262DBF">
        <w:rPr>
          <w:rFonts w:ascii="Cambria" w:hAnsi="Cambria"/>
          <w:szCs w:val="24"/>
        </w:rPr>
        <w:t>The role of national courts in ensuring compliance with EU criminal law principles</w:t>
      </w:r>
    </w:p>
    <w:p w14:paraId="255A9D09" w14:textId="77777777" w:rsidR="00813F27" w:rsidRPr="00262DBF" w:rsidRDefault="00813F27" w:rsidP="00262DBF">
      <w:pPr>
        <w:pStyle w:val="Akapitzlist"/>
        <w:numPr>
          <w:ilvl w:val="0"/>
          <w:numId w:val="4"/>
        </w:numPr>
        <w:spacing w:line="360" w:lineRule="auto"/>
        <w:rPr>
          <w:rFonts w:ascii="Cambria" w:hAnsi="Cambria"/>
          <w:szCs w:val="24"/>
        </w:rPr>
      </w:pPr>
      <w:r w:rsidRPr="00262DBF">
        <w:rPr>
          <w:rFonts w:ascii="Cambria" w:hAnsi="Cambria"/>
          <w:szCs w:val="24"/>
        </w:rPr>
        <w:t>Ne bis in idem principle in the EU</w:t>
      </w:r>
    </w:p>
    <w:p w14:paraId="3BD92282" w14:textId="4C55F753" w:rsidR="00F82670" w:rsidRPr="00262DBF" w:rsidRDefault="00F82670" w:rsidP="00262DBF">
      <w:pPr>
        <w:pStyle w:val="Akapitzlist"/>
        <w:numPr>
          <w:ilvl w:val="0"/>
          <w:numId w:val="4"/>
        </w:numPr>
        <w:spacing w:line="360" w:lineRule="auto"/>
        <w:rPr>
          <w:rFonts w:ascii="Cambria" w:hAnsi="Cambria"/>
          <w:szCs w:val="24"/>
        </w:rPr>
      </w:pPr>
      <w:r w:rsidRPr="00262DBF">
        <w:rPr>
          <w:rFonts w:ascii="Cambria" w:hAnsi="Cambria"/>
          <w:szCs w:val="24"/>
        </w:rPr>
        <w:t xml:space="preserve">Double criminality principle in the EU </w:t>
      </w:r>
    </w:p>
    <w:p w14:paraId="070729BF" w14:textId="6536B378" w:rsidR="00F921D9" w:rsidRPr="00262DBF" w:rsidRDefault="00F921D9" w:rsidP="00262DBF">
      <w:pPr>
        <w:pStyle w:val="Akapitzlist"/>
        <w:numPr>
          <w:ilvl w:val="0"/>
          <w:numId w:val="4"/>
        </w:numPr>
        <w:spacing w:line="360" w:lineRule="auto"/>
        <w:rPr>
          <w:rFonts w:ascii="Cambria" w:hAnsi="Cambria"/>
          <w:szCs w:val="24"/>
        </w:rPr>
      </w:pPr>
      <w:r w:rsidRPr="00262DBF">
        <w:rPr>
          <w:rFonts w:ascii="Cambria" w:hAnsi="Cambria"/>
          <w:szCs w:val="24"/>
        </w:rPr>
        <w:t xml:space="preserve">Speciality rule and its application in the European Union </w:t>
      </w:r>
    </w:p>
    <w:p w14:paraId="740E1278" w14:textId="69EB21AC" w:rsidR="0080511D" w:rsidRPr="00262DBF" w:rsidRDefault="0080511D" w:rsidP="00262DBF">
      <w:pPr>
        <w:pStyle w:val="Akapitzlist"/>
        <w:numPr>
          <w:ilvl w:val="0"/>
          <w:numId w:val="4"/>
        </w:numPr>
        <w:spacing w:line="360" w:lineRule="auto"/>
        <w:rPr>
          <w:rFonts w:ascii="Cambria" w:hAnsi="Cambria"/>
          <w:szCs w:val="24"/>
        </w:rPr>
      </w:pPr>
      <w:r w:rsidRPr="00262DBF">
        <w:rPr>
          <w:rFonts w:ascii="Cambria" w:hAnsi="Cambria"/>
          <w:szCs w:val="24"/>
        </w:rPr>
        <w:t>The significance of the Charter of Fundamental Rights of the EU for criminal cooperation</w:t>
      </w:r>
    </w:p>
    <w:p w14:paraId="15B8755C" w14:textId="62AF0697" w:rsidR="0080511D" w:rsidRPr="00262DBF" w:rsidRDefault="0080511D" w:rsidP="00262DBF">
      <w:pPr>
        <w:pStyle w:val="Akapitzlist"/>
        <w:numPr>
          <w:ilvl w:val="0"/>
          <w:numId w:val="4"/>
        </w:numPr>
        <w:spacing w:line="360" w:lineRule="auto"/>
        <w:rPr>
          <w:rFonts w:ascii="Cambria" w:hAnsi="Cambria"/>
          <w:szCs w:val="24"/>
        </w:rPr>
      </w:pPr>
      <w:r w:rsidRPr="00262DBF">
        <w:rPr>
          <w:rFonts w:ascii="Cambria" w:hAnsi="Cambria"/>
          <w:szCs w:val="24"/>
        </w:rPr>
        <w:t>The consequences of Brexit for judicial cooperation in criminal matters between the EU and the UK</w:t>
      </w:r>
    </w:p>
    <w:p w14:paraId="372F77CC" w14:textId="3313A454" w:rsidR="00262DBF" w:rsidRPr="00262DBF" w:rsidRDefault="00262DBF" w:rsidP="00262DBF">
      <w:pPr>
        <w:pStyle w:val="Akapitzlist"/>
        <w:numPr>
          <w:ilvl w:val="0"/>
          <w:numId w:val="4"/>
        </w:numPr>
        <w:spacing w:line="360" w:lineRule="auto"/>
        <w:rPr>
          <w:rFonts w:ascii="Cambria" w:hAnsi="Cambria"/>
          <w:szCs w:val="24"/>
        </w:rPr>
      </w:pPr>
      <w:r w:rsidRPr="00262DBF">
        <w:rPr>
          <w:rFonts w:ascii="Cambria" w:hAnsi="Cambria"/>
          <w:szCs w:val="24"/>
        </w:rPr>
        <w:t>Protection of victims’ rights in the context of EU judicial cooperation in criminal matters</w:t>
      </w:r>
    </w:p>
    <w:p w14:paraId="468257AF" w14:textId="52D479AA" w:rsidR="00F637D7" w:rsidRPr="00262DBF" w:rsidRDefault="00F637D7" w:rsidP="00262DBF">
      <w:pPr>
        <w:pStyle w:val="Akapitzlist"/>
        <w:numPr>
          <w:ilvl w:val="0"/>
          <w:numId w:val="4"/>
        </w:numPr>
        <w:spacing w:line="360" w:lineRule="auto"/>
        <w:rPr>
          <w:rFonts w:ascii="Cambria" w:hAnsi="Cambria"/>
          <w:szCs w:val="24"/>
        </w:rPr>
      </w:pPr>
      <w:r w:rsidRPr="00262DBF">
        <w:rPr>
          <w:rFonts w:ascii="Cambria" w:hAnsi="Cambria"/>
          <w:szCs w:val="24"/>
        </w:rPr>
        <w:t xml:space="preserve">Trans-border </w:t>
      </w:r>
      <w:r w:rsidRPr="00262DBF">
        <w:rPr>
          <w:rFonts w:ascii="Cambria" w:hAnsi="Cambria"/>
          <w:szCs w:val="24"/>
        </w:rPr>
        <w:t>pursuit</w:t>
      </w:r>
      <w:r w:rsidRPr="00262DBF">
        <w:rPr>
          <w:rFonts w:ascii="Cambria" w:hAnsi="Cambria"/>
          <w:szCs w:val="24"/>
        </w:rPr>
        <w:t xml:space="preserve"> in the Schengen Convention</w:t>
      </w:r>
    </w:p>
    <w:p w14:paraId="2047343E" w14:textId="24EA7828" w:rsidR="00813F27" w:rsidRPr="00262DBF" w:rsidRDefault="00F921D9" w:rsidP="00262DBF">
      <w:pPr>
        <w:pStyle w:val="Akapitzlist"/>
        <w:numPr>
          <w:ilvl w:val="0"/>
          <w:numId w:val="4"/>
        </w:numPr>
        <w:spacing w:line="360" w:lineRule="auto"/>
        <w:rPr>
          <w:rFonts w:ascii="Cambria" w:hAnsi="Cambria"/>
          <w:szCs w:val="24"/>
        </w:rPr>
      </w:pPr>
      <w:r w:rsidRPr="00262DBF">
        <w:rPr>
          <w:rFonts w:ascii="Cambria" w:hAnsi="Cambria"/>
          <w:szCs w:val="24"/>
        </w:rPr>
        <w:t>European Arrest Warrant (EAW)</w:t>
      </w:r>
      <w:r w:rsidRPr="00262DBF">
        <w:rPr>
          <w:rFonts w:ascii="Cambria" w:hAnsi="Cambria"/>
          <w:szCs w:val="24"/>
        </w:rPr>
        <w:t xml:space="preserve"> </w:t>
      </w:r>
      <w:r w:rsidR="00813F27" w:rsidRPr="00262DBF">
        <w:rPr>
          <w:rFonts w:ascii="Cambria" w:hAnsi="Cambria"/>
          <w:szCs w:val="24"/>
        </w:rPr>
        <w:t xml:space="preserve">– definition and characterisation of the instrument </w:t>
      </w:r>
    </w:p>
    <w:p w14:paraId="66ABFD6C" w14:textId="60ADEB59" w:rsidR="00813F27" w:rsidRPr="00262DBF" w:rsidRDefault="00813F27" w:rsidP="00262DBF">
      <w:pPr>
        <w:pStyle w:val="Akapitzlist"/>
        <w:numPr>
          <w:ilvl w:val="0"/>
          <w:numId w:val="4"/>
        </w:numPr>
        <w:spacing w:line="360" w:lineRule="auto"/>
        <w:rPr>
          <w:rFonts w:ascii="Cambria" w:hAnsi="Cambria"/>
          <w:szCs w:val="24"/>
        </w:rPr>
      </w:pPr>
      <w:r w:rsidRPr="00262DBF">
        <w:rPr>
          <w:rFonts w:ascii="Cambria" w:hAnsi="Cambria"/>
          <w:szCs w:val="24"/>
        </w:rPr>
        <w:lastRenderedPageBreak/>
        <w:t xml:space="preserve">Procedural </w:t>
      </w:r>
      <w:r w:rsidR="00F637D7" w:rsidRPr="00262DBF">
        <w:rPr>
          <w:rFonts w:ascii="Cambria" w:hAnsi="Cambria"/>
          <w:szCs w:val="24"/>
        </w:rPr>
        <w:t xml:space="preserve">rights and </w:t>
      </w:r>
      <w:r w:rsidRPr="00262DBF">
        <w:rPr>
          <w:rFonts w:ascii="Cambria" w:hAnsi="Cambria"/>
          <w:szCs w:val="24"/>
        </w:rPr>
        <w:t xml:space="preserve">guarantees of a transferred person </w:t>
      </w:r>
    </w:p>
    <w:p w14:paraId="6F25FC56" w14:textId="1D99C396" w:rsidR="00813F27" w:rsidRPr="00262DBF" w:rsidRDefault="00813F27" w:rsidP="00262DBF">
      <w:pPr>
        <w:pStyle w:val="Akapitzlist"/>
        <w:numPr>
          <w:ilvl w:val="0"/>
          <w:numId w:val="4"/>
        </w:numPr>
        <w:spacing w:line="360" w:lineRule="auto"/>
        <w:rPr>
          <w:rFonts w:ascii="Cambria" w:hAnsi="Cambria"/>
          <w:szCs w:val="24"/>
        </w:rPr>
      </w:pPr>
      <w:r w:rsidRPr="00262DBF">
        <w:rPr>
          <w:rFonts w:ascii="Cambria" w:hAnsi="Cambria"/>
          <w:szCs w:val="24"/>
        </w:rPr>
        <w:t xml:space="preserve">Human rights and flagrant denial of justice as the grounds for </w:t>
      </w:r>
      <w:r w:rsidR="00F637D7" w:rsidRPr="00262DBF">
        <w:rPr>
          <w:rFonts w:ascii="Cambria" w:hAnsi="Cambria"/>
          <w:szCs w:val="24"/>
        </w:rPr>
        <w:t>refusal</w:t>
      </w:r>
      <w:r w:rsidRPr="00262DBF">
        <w:rPr>
          <w:rFonts w:ascii="Cambria" w:hAnsi="Cambria"/>
          <w:szCs w:val="24"/>
        </w:rPr>
        <w:t xml:space="preserve"> of the </w:t>
      </w:r>
      <w:r w:rsidR="00F921D9" w:rsidRPr="00262DBF">
        <w:rPr>
          <w:rFonts w:ascii="Cambria" w:hAnsi="Cambria"/>
          <w:szCs w:val="24"/>
        </w:rPr>
        <w:t>European Arrest Warrant (EAW)</w:t>
      </w:r>
    </w:p>
    <w:p w14:paraId="1F4E62DC" w14:textId="0E890DDB" w:rsidR="00813F27" w:rsidRPr="00262DBF" w:rsidRDefault="00F637D7" w:rsidP="00262DBF">
      <w:pPr>
        <w:pStyle w:val="Akapitzlist"/>
        <w:numPr>
          <w:ilvl w:val="0"/>
          <w:numId w:val="4"/>
        </w:numPr>
        <w:spacing w:line="360" w:lineRule="auto"/>
        <w:rPr>
          <w:rFonts w:ascii="Cambria" w:hAnsi="Cambria"/>
          <w:szCs w:val="24"/>
        </w:rPr>
      </w:pPr>
      <w:r w:rsidRPr="00262DBF">
        <w:rPr>
          <w:rFonts w:ascii="Cambria" w:hAnsi="Cambria"/>
          <w:szCs w:val="24"/>
        </w:rPr>
        <w:t>Issuance and execution of the European Arrest Warrant (EAW)</w:t>
      </w:r>
    </w:p>
    <w:p w14:paraId="5CF9677C" w14:textId="7402ECA4" w:rsidR="0080511D" w:rsidRPr="00262DBF" w:rsidRDefault="0080511D" w:rsidP="00262DBF">
      <w:pPr>
        <w:pStyle w:val="Akapitzlist"/>
        <w:numPr>
          <w:ilvl w:val="0"/>
          <w:numId w:val="4"/>
        </w:numPr>
        <w:spacing w:line="360" w:lineRule="auto"/>
        <w:rPr>
          <w:rFonts w:ascii="Cambria" w:hAnsi="Cambria"/>
          <w:szCs w:val="24"/>
        </w:rPr>
      </w:pPr>
      <w:r w:rsidRPr="00262DBF">
        <w:rPr>
          <w:rFonts w:ascii="Cambria" w:hAnsi="Cambria"/>
          <w:szCs w:val="24"/>
        </w:rPr>
        <w:t>Main differences between extradition and the European Arrest Warrant (EAW)</w:t>
      </w:r>
    </w:p>
    <w:p w14:paraId="4D76E53D" w14:textId="744656FD" w:rsidR="00F637D7" w:rsidRPr="00262DBF" w:rsidRDefault="00F637D7" w:rsidP="00262DBF">
      <w:pPr>
        <w:pStyle w:val="Akapitzlist"/>
        <w:numPr>
          <w:ilvl w:val="0"/>
          <w:numId w:val="4"/>
        </w:numPr>
        <w:spacing w:line="360" w:lineRule="auto"/>
        <w:rPr>
          <w:rFonts w:ascii="Cambria" w:hAnsi="Cambria"/>
          <w:szCs w:val="24"/>
        </w:rPr>
      </w:pPr>
      <w:r w:rsidRPr="00262DBF">
        <w:rPr>
          <w:rFonts w:ascii="Cambria" w:hAnsi="Cambria"/>
          <w:szCs w:val="24"/>
        </w:rPr>
        <w:t xml:space="preserve">EU agreement with UK about execution of the </w:t>
      </w:r>
      <w:r w:rsidR="00F921D9" w:rsidRPr="00262DBF">
        <w:rPr>
          <w:rFonts w:ascii="Cambria" w:hAnsi="Cambria"/>
          <w:szCs w:val="24"/>
        </w:rPr>
        <w:t>European Arrest Warrant (EAW)</w:t>
      </w:r>
    </w:p>
    <w:p w14:paraId="5791B3FD" w14:textId="3FBD70A5" w:rsidR="00F637D7" w:rsidRPr="00262DBF" w:rsidRDefault="00F637D7" w:rsidP="00262DBF">
      <w:pPr>
        <w:pStyle w:val="Akapitzlist"/>
        <w:numPr>
          <w:ilvl w:val="0"/>
          <w:numId w:val="4"/>
        </w:numPr>
        <w:spacing w:line="360" w:lineRule="auto"/>
        <w:rPr>
          <w:rFonts w:ascii="Cambria" w:hAnsi="Cambria"/>
          <w:szCs w:val="24"/>
        </w:rPr>
      </w:pPr>
      <w:r w:rsidRPr="00262DBF">
        <w:rPr>
          <w:rFonts w:ascii="Cambria" w:hAnsi="Cambria"/>
          <w:szCs w:val="24"/>
        </w:rPr>
        <w:t xml:space="preserve">European </w:t>
      </w:r>
      <w:r w:rsidR="00F921D9" w:rsidRPr="00262DBF">
        <w:rPr>
          <w:rFonts w:ascii="Cambria" w:hAnsi="Cambria"/>
          <w:szCs w:val="24"/>
        </w:rPr>
        <w:t>I</w:t>
      </w:r>
      <w:r w:rsidRPr="00262DBF">
        <w:rPr>
          <w:rFonts w:ascii="Cambria" w:hAnsi="Cambria"/>
          <w:szCs w:val="24"/>
        </w:rPr>
        <w:t xml:space="preserve">nvestigation </w:t>
      </w:r>
      <w:r w:rsidR="00F921D9" w:rsidRPr="00262DBF">
        <w:rPr>
          <w:rFonts w:ascii="Cambria" w:hAnsi="Cambria"/>
          <w:szCs w:val="24"/>
        </w:rPr>
        <w:t>O</w:t>
      </w:r>
      <w:r w:rsidRPr="00262DBF">
        <w:rPr>
          <w:rFonts w:ascii="Cambria" w:hAnsi="Cambria"/>
          <w:szCs w:val="24"/>
        </w:rPr>
        <w:t>rder</w:t>
      </w:r>
      <w:r w:rsidR="00F921D9" w:rsidRPr="00262DBF">
        <w:rPr>
          <w:rFonts w:ascii="Cambria" w:hAnsi="Cambria"/>
          <w:szCs w:val="24"/>
        </w:rPr>
        <w:t xml:space="preserve"> (EIO)</w:t>
      </w:r>
      <w:r w:rsidRPr="00262DBF">
        <w:rPr>
          <w:rFonts w:ascii="Cambria" w:hAnsi="Cambria"/>
          <w:szCs w:val="24"/>
        </w:rPr>
        <w:t xml:space="preserve"> – definition and characterisation of the instrument </w:t>
      </w:r>
    </w:p>
    <w:p w14:paraId="445C18A3" w14:textId="5E8B8D75" w:rsidR="00F637D7" w:rsidRPr="00262DBF" w:rsidRDefault="00F921D9" w:rsidP="00262DBF">
      <w:pPr>
        <w:pStyle w:val="Akapitzlist"/>
        <w:numPr>
          <w:ilvl w:val="0"/>
          <w:numId w:val="4"/>
        </w:numPr>
        <w:spacing w:line="360" w:lineRule="auto"/>
        <w:rPr>
          <w:rFonts w:ascii="Cambria" w:hAnsi="Cambria"/>
          <w:szCs w:val="24"/>
        </w:rPr>
      </w:pPr>
      <w:r w:rsidRPr="00262DBF">
        <w:rPr>
          <w:rFonts w:ascii="Cambria" w:hAnsi="Cambria"/>
          <w:szCs w:val="24"/>
        </w:rPr>
        <w:t>Issuance and execution of the European</w:t>
      </w:r>
      <w:r w:rsidRPr="00262DBF">
        <w:rPr>
          <w:rFonts w:ascii="Cambria" w:hAnsi="Cambria"/>
          <w:szCs w:val="24"/>
        </w:rPr>
        <w:t xml:space="preserve"> Investigation Order (EIO)</w:t>
      </w:r>
    </w:p>
    <w:p w14:paraId="0AAF9A7F" w14:textId="1CB2A474" w:rsidR="00F921D9" w:rsidRPr="00262DBF" w:rsidRDefault="00F921D9" w:rsidP="00262DBF">
      <w:pPr>
        <w:pStyle w:val="Akapitzlist"/>
        <w:numPr>
          <w:ilvl w:val="0"/>
          <w:numId w:val="4"/>
        </w:numPr>
        <w:spacing w:line="360" w:lineRule="auto"/>
        <w:rPr>
          <w:rFonts w:ascii="Cambria" w:hAnsi="Cambria"/>
          <w:szCs w:val="24"/>
        </w:rPr>
      </w:pPr>
      <w:r w:rsidRPr="00262DBF">
        <w:rPr>
          <w:rFonts w:ascii="Cambria" w:hAnsi="Cambria"/>
          <w:szCs w:val="24"/>
        </w:rPr>
        <w:t xml:space="preserve">Real-life collection of evidence and the </w:t>
      </w:r>
      <w:r w:rsidRPr="00262DBF">
        <w:rPr>
          <w:rFonts w:ascii="Cambria" w:hAnsi="Cambria"/>
          <w:szCs w:val="24"/>
        </w:rPr>
        <w:t>European Investigation Order (EIO)</w:t>
      </w:r>
    </w:p>
    <w:p w14:paraId="57FDF0A3" w14:textId="56007090" w:rsidR="0080511D" w:rsidRPr="00262DBF" w:rsidRDefault="0080511D" w:rsidP="00262DBF">
      <w:pPr>
        <w:pStyle w:val="Akapitzlist"/>
        <w:numPr>
          <w:ilvl w:val="0"/>
          <w:numId w:val="4"/>
        </w:numPr>
        <w:spacing w:line="360" w:lineRule="auto"/>
        <w:rPr>
          <w:rFonts w:ascii="Cambria" w:hAnsi="Cambria"/>
          <w:szCs w:val="24"/>
        </w:rPr>
      </w:pPr>
      <w:r w:rsidRPr="00262DBF">
        <w:rPr>
          <w:rFonts w:ascii="Cambria" w:hAnsi="Cambria"/>
          <w:szCs w:val="24"/>
        </w:rPr>
        <w:t>Main challenges in obtaining digital evidence in the framework of judicial cooperation in the EU</w:t>
      </w:r>
    </w:p>
    <w:p w14:paraId="334D66A8" w14:textId="53B07FDB" w:rsidR="00F921D9" w:rsidRPr="00262DBF" w:rsidRDefault="00F921D9" w:rsidP="00262DBF">
      <w:pPr>
        <w:pStyle w:val="Akapitzlist"/>
        <w:numPr>
          <w:ilvl w:val="0"/>
          <w:numId w:val="4"/>
        </w:numPr>
        <w:spacing w:line="360" w:lineRule="auto"/>
        <w:rPr>
          <w:rFonts w:ascii="Cambria" w:hAnsi="Cambria"/>
          <w:szCs w:val="24"/>
        </w:rPr>
      </w:pPr>
      <w:r w:rsidRPr="00262DBF">
        <w:rPr>
          <w:rFonts w:ascii="Cambria" w:hAnsi="Cambria"/>
          <w:szCs w:val="24"/>
        </w:rPr>
        <w:t xml:space="preserve">Encrochat case and transfer of digital evidence </w:t>
      </w:r>
    </w:p>
    <w:p w14:paraId="508F7B9C" w14:textId="2BED8021" w:rsidR="0080511D" w:rsidRPr="00262DBF" w:rsidRDefault="0080511D" w:rsidP="00262DBF">
      <w:pPr>
        <w:pStyle w:val="Akapitzlist"/>
        <w:numPr>
          <w:ilvl w:val="0"/>
          <w:numId w:val="4"/>
        </w:numPr>
        <w:spacing w:line="360" w:lineRule="auto"/>
        <w:rPr>
          <w:rFonts w:ascii="Cambria" w:hAnsi="Cambria"/>
          <w:szCs w:val="24"/>
        </w:rPr>
      </w:pPr>
      <w:r w:rsidRPr="00262DBF">
        <w:rPr>
          <w:rFonts w:ascii="Cambria" w:hAnsi="Cambria"/>
          <w:szCs w:val="24"/>
        </w:rPr>
        <w:t>Differences between the European Investigation Order (EIO) and traditional forms of legal assistance</w:t>
      </w:r>
    </w:p>
    <w:p w14:paraId="744F8EB8" w14:textId="0E550D20" w:rsidR="00F921D9" w:rsidRPr="00262DBF" w:rsidRDefault="00F921D9" w:rsidP="00262DBF">
      <w:pPr>
        <w:pStyle w:val="Akapitzlist"/>
        <w:numPr>
          <w:ilvl w:val="0"/>
          <w:numId w:val="4"/>
        </w:numPr>
        <w:spacing w:line="360" w:lineRule="auto"/>
        <w:rPr>
          <w:rFonts w:ascii="Cambria" w:hAnsi="Cambria"/>
          <w:szCs w:val="24"/>
        </w:rPr>
      </w:pPr>
      <w:r w:rsidRPr="00262DBF">
        <w:rPr>
          <w:rFonts w:ascii="Cambria" w:hAnsi="Cambria"/>
          <w:szCs w:val="24"/>
        </w:rPr>
        <w:t xml:space="preserve">European Protection Order (EPO) - </w:t>
      </w:r>
      <w:r w:rsidRPr="00262DBF">
        <w:rPr>
          <w:rFonts w:ascii="Cambria" w:hAnsi="Cambria"/>
          <w:szCs w:val="24"/>
        </w:rPr>
        <w:t>definition and characterisation of the instrument</w:t>
      </w:r>
      <w:r w:rsidRPr="00262DBF">
        <w:rPr>
          <w:rFonts w:ascii="Cambria" w:hAnsi="Cambria"/>
          <w:szCs w:val="24"/>
        </w:rPr>
        <w:t xml:space="preserve"> </w:t>
      </w:r>
    </w:p>
    <w:p w14:paraId="478390AB" w14:textId="5C3A8A0D" w:rsidR="00F921D9" w:rsidRPr="00262DBF" w:rsidRDefault="00F82670" w:rsidP="00262DBF">
      <w:pPr>
        <w:pStyle w:val="Akapitzlist"/>
        <w:numPr>
          <w:ilvl w:val="0"/>
          <w:numId w:val="4"/>
        </w:numPr>
        <w:spacing w:line="360" w:lineRule="auto"/>
        <w:rPr>
          <w:rFonts w:ascii="Cambria" w:hAnsi="Cambria"/>
          <w:szCs w:val="24"/>
        </w:rPr>
      </w:pPr>
      <w:r w:rsidRPr="00262DBF">
        <w:rPr>
          <w:rFonts w:ascii="Cambria" w:hAnsi="Cambria"/>
          <w:szCs w:val="24"/>
        </w:rPr>
        <w:t xml:space="preserve">Execution of financial penalties in the EU </w:t>
      </w:r>
    </w:p>
    <w:p w14:paraId="4F12DC50" w14:textId="101DAADE" w:rsidR="0080511D" w:rsidRPr="00262DBF" w:rsidRDefault="0080511D" w:rsidP="00262DBF">
      <w:pPr>
        <w:pStyle w:val="Akapitzlist"/>
        <w:numPr>
          <w:ilvl w:val="0"/>
          <w:numId w:val="4"/>
        </w:numPr>
        <w:spacing w:line="360" w:lineRule="auto"/>
        <w:rPr>
          <w:rFonts w:ascii="Cambria" w:hAnsi="Cambria"/>
          <w:szCs w:val="24"/>
        </w:rPr>
      </w:pPr>
      <w:r w:rsidRPr="00262DBF">
        <w:rPr>
          <w:rFonts w:ascii="Cambria" w:hAnsi="Cambria"/>
          <w:szCs w:val="24"/>
        </w:rPr>
        <w:t>Grounds for refusal to recognize and execute a financial penalty under the framework decision</w:t>
      </w:r>
    </w:p>
    <w:p w14:paraId="642F14A6" w14:textId="158B1498" w:rsidR="00F82670" w:rsidRPr="00262DBF" w:rsidRDefault="00F82670" w:rsidP="00262DBF">
      <w:pPr>
        <w:pStyle w:val="Akapitzlist"/>
        <w:numPr>
          <w:ilvl w:val="0"/>
          <w:numId w:val="4"/>
        </w:numPr>
        <w:spacing w:line="360" w:lineRule="auto"/>
        <w:rPr>
          <w:rFonts w:ascii="Cambria" w:hAnsi="Cambria"/>
          <w:szCs w:val="24"/>
        </w:rPr>
      </w:pPr>
      <w:r w:rsidRPr="00262DBF">
        <w:rPr>
          <w:rFonts w:ascii="Cambria" w:hAnsi="Cambria"/>
          <w:szCs w:val="24"/>
        </w:rPr>
        <w:t>Traffic related offences and execution of financial penalties</w:t>
      </w:r>
    </w:p>
    <w:p w14:paraId="1D643CD2" w14:textId="64B5DC69" w:rsidR="00262DBF" w:rsidRPr="00262DBF" w:rsidRDefault="00262DBF" w:rsidP="00262DBF">
      <w:pPr>
        <w:pStyle w:val="Akapitzlist"/>
        <w:numPr>
          <w:ilvl w:val="0"/>
          <w:numId w:val="4"/>
        </w:numPr>
        <w:spacing w:line="360" w:lineRule="auto"/>
        <w:rPr>
          <w:rFonts w:ascii="Cambria" w:hAnsi="Cambria"/>
          <w:szCs w:val="24"/>
        </w:rPr>
      </w:pPr>
      <w:r w:rsidRPr="00262DBF">
        <w:rPr>
          <w:rFonts w:ascii="Cambria" w:hAnsi="Cambria"/>
          <w:szCs w:val="24"/>
        </w:rPr>
        <w:t>Categories of traffic offenses covered under Directive (EU) 2015/413 and their legal implications</w:t>
      </w:r>
    </w:p>
    <w:p w14:paraId="4886B1F4" w14:textId="297E1344" w:rsidR="00262DBF" w:rsidRPr="00262DBF" w:rsidRDefault="00262DBF" w:rsidP="00262DBF">
      <w:pPr>
        <w:pStyle w:val="Akapitzlist"/>
        <w:numPr>
          <w:ilvl w:val="0"/>
          <w:numId w:val="4"/>
        </w:numPr>
        <w:spacing w:line="360" w:lineRule="auto"/>
        <w:rPr>
          <w:rFonts w:ascii="Cambria" w:hAnsi="Cambria"/>
          <w:szCs w:val="24"/>
        </w:rPr>
      </w:pPr>
      <w:r w:rsidRPr="00262DBF">
        <w:rPr>
          <w:rFonts w:ascii="Cambria" w:hAnsi="Cambria"/>
          <w:szCs w:val="24"/>
        </w:rPr>
        <w:t>Mechanisms for identifying and notifying offenders under Directive (EU) 2015/41</w:t>
      </w:r>
    </w:p>
    <w:p w14:paraId="34E443F4" w14:textId="3B416340" w:rsidR="00F82670" w:rsidRPr="00262DBF" w:rsidRDefault="00F82670" w:rsidP="00262DBF">
      <w:pPr>
        <w:pStyle w:val="Akapitzlist"/>
        <w:numPr>
          <w:ilvl w:val="0"/>
          <w:numId w:val="4"/>
        </w:numPr>
        <w:spacing w:line="360" w:lineRule="auto"/>
        <w:rPr>
          <w:rFonts w:ascii="Cambria" w:hAnsi="Cambria"/>
          <w:szCs w:val="24"/>
        </w:rPr>
      </w:pPr>
      <w:r w:rsidRPr="00262DBF">
        <w:rPr>
          <w:rFonts w:ascii="Cambria" w:hAnsi="Cambria"/>
          <w:szCs w:val="24"/>
        </w:rPr>
        <w:t xml:space="preserve">Solving conflicts of jurisdiction in the EU </w:t>
      </w:r>
    </w:p>
    <w:p w14:paraId="30272CD8" w14:textId="339EE7D1" w:rsidR="00262DBF" w:rsidRPr="00262DBF" w:rsidRDefault="00262DBF" w:rsidP="00262DBF">
      <w:pPr>
        <w:pStyle w:val="Akapitzlist"/>
        <w:numPr>
          <w:ilvl w:val="0"/>
          <w:numId w:val="4"/>
        </w:numPr>
        <w:spacing w:line="360" w:lineRule="auto"/>
        <w:rPr>
          <w:rFonts w:ascii="Cambria" w:hAnsi="Cambria"/>
          <w:szCs w:val="24"/>
        </w:rPr>
      </w:pPr>
      <w:r w:rsidRPr="00262DBF">
        <w:rPr>
          <w:rFonts w:ascii="Cambria" w:hAnsi="Cambria"/>
          <w:szCs w:val="24"/>
        </w:rPr>
        <w:t>Challenges in implementing conflict-resolution mechanisms under Framework Decision 2009/948/JHA</w:t>
      </w:r>
    </w:p>
    <w:p w14:paraId="6D600F12" w14:textId="0F00B6DB" w:rsidR="00F82670" w:rsidRPr="00262DBF" w:rsidRDefault="0080511D" w:rsidP="00262DBF">
      <w:pPr>
        <w:pStyle w:val="Akapitzlist"/>
        <w:numPr>
          <w:ilvl w:val="0"/>
          <w:numId w:val="4"/>
        </w:numPr>
        <w:spacing w:line="360" w:lineRule="auto"/>
        <w:rPr>
          <w:rFonts w:ascii="Cambria" w:hAnsi="Cambria"/>
          <w:szCs w:val="24"/>
        </w:rPr>
      </w:pPr>
      <w:r w:rsidRPr="00262DBF">
        <w:rPr>
          <w:rFonts w:ascii="Cambria" w:hAnsi="Cambria"/>
          <w:szCs w:val="24"/>
        </w:rPr>
        <w:t xml:space="preserve">Transfer of prisoners in the EU </w:t>
      </w:r>
    </w:p>
    <w:p w14:paraId="5C98DA8A" w14:textId="780FFB66" w:rsidR="0080511D" w:rsidRPr="00262DBF" w:rsidRDefault="0080511D" w:rsidP="00262DBF">
      <w:pPr>
        <w:pStyle w:val="Akapitzlist"/>
        <w:numPr>
          <w:ilvl w:val="0"/>
          <w:numId w:val="4"/>
        </w:numPr>
        <w:spacing w:line="360" w:lineRule="auto"/>
        <w:rPr>
          <w:rFonts w:ascii="Cambria" w:hAnsi="Cambria"/>
          <w:szCs w:val="24"/>
        </w:rPr>
      </w:pPr>
      <w:r w:rsidRPr="00262DBF">
        <w:rPr>
          <w:rFonts w:ascii="Cambria" w:hAnsi="Cambria"/>
          <w:szCs w:val="24"/>
        </w:rPr>
        <w:t>The impact of the prisoner transfer mechanism in the EU on the rehabilitation of convicted persons</w:t>
      </w:r>
    </w:p>
    <w:p w14:paraId="57A39B03" w14:textId="47625DF6" w:rsidR="0080511D" w:rsidRPr="00262DBF" w:rsidRDefault="0080511D" w:rsidP="00262DBF">
      <w:pPr>
        <w:pStyle w:val="Akapitzlist"/>
        <w:numPr>
          <w:ilvl w:val="0"/>
          <w:numId w:val="4"/>
        </w:numPr>
        <w:spacing w:line="360" w:lineRule="auto"/>
        <w:rPr>
          <w:rFonts w:ascii="Cambria" w:hAnsi="Cambria"/>
          <w:szCs w:val="24"/>
        </w:rPr>
      </w:pPr>
      <w:r w:rsidRPr="00262DBF">
        <w:rPr>
          <w:rFonts w:ascii="Cambria" w:hAnsi="Cambria"/>
          <w:szCs w:val="24"/>
        </w:rPr>
        <w:t xml:space="preserve">European Public Prosecutor Office – scope of jurisdiction and functioning of the EPPO </w:t>
      </w:r>
    </w:p>
    <w:p w14:paraId="128AF4E4" w14:textId="34C5B26B" w:rsidR="0080511D" w:rsidRPr="00262DBF" w:rsidRDefault="0080511D" w:rsidP="00262DBF">
      <w:pPr>
        <w:pStyle w:val="Akapitzlist"/>
        <w:numPr>
          <w:ilvl w:val="0"/>
          <w:numId w:val="4"/>
        </w:numPr>
        <w:spacing w:line="360" w:lineRule="auto"/>
        <w:rPr>
          <w:rFonts w:ascii="Cambria" w:hAnsi="Cambria"/>
          <w:szCs w:val="24"/>
        </w:rPr>
      </w:pPr>
      <w:r w:rsidRPr="00262DBF">
        <w:rPr>
          <w:rFonts w:ascii="Cambria" w:hAnsi="Cambria"/>
          <w:szCs w:val="24"/>
        </w:rPr>
        <w:t>Main objectives and competences of the European Public Prosecutor’s Office (EPPO)</w:t>
      </w:r>
    </w:p>
    <w:p w14:paraId="158EEA6F" w14:textId="317FB1B3" w:rsidR="00262DBF" w:rsidRPr="00262DBF" w:rsidRDefault="00262DBF" w:rsidP="00262DBF">
      <w:pPr>
        <w:pStyle w:val="Akapitzlist"/>
        <w:numPr>
          <w:ilvl w:val="0"/>
          <w:numId w:val="4"/>
        </w:numPr>
        <w:spacing w:line="360" w:lineRule="auto"/>
        <w:rPr>
          <w:rFonts w:ascii="Cambria" w:hAnsi="Cambria"/>
          <w:szCs w:val="24"/>
        </w:rPr>
      </w:pPr>
      <w:r w:rsidRPr="00262DBF">
        <w:rPr>
          <w:rFonts w:ascii="Cambria" w:hAnsi="Cambria"/>
          <w:szCs w:val="24"/>
        </w:rPr>
        <w:t>Scope of application and key objectives of Regulation (EU) 2018/1805 on freezing and confiscation orders</w:t>
      </w:r>
    </w:p>
    <w:p w14:paraId="26C469B6" w14:textId="0AD0FB12" w:rsidR="00262DBF" w:rsidRPr="00262DBF" w:rsidRDefault="00262DBF" w:rsidP="00262DBF">
      <w:pPr>
        <w:pStyle w:val="Akapitzlist"/>
        <w:numPr>
          <w:ilvl w:val="0"/>
          <w:numId w:val="4"/>
        </w:numPr>
        <w:spacing w:line="360" w:lineRule="auto"/>
        <w:rPr>
          <w:rFonts w:ascii="Cambria" w:hAnsi="Cambria"/>
          <w:szCs w:val="24"/>
        </w:rPr>
      </w:pPr>
      <w:r w:rsidRPr="00262DBF">
        <w:rPr>
          <w:rFonts w:ascii="Cambria" w:hAnsi="Cambria"/>
          <w:szCs w:val="24"/>
        </w:rPr>
        <w:t>Procedural safeguards and legal remedies available to affected individuals under Regulation (EU) 2018/1805</w:t>
      </w:r>
    </w:p>
    <w:p w14:paraId="2F45566F" w14:textId="0E3C8941" w:rsidR="0080511D" w:rsidRPr="00262DBF" w:rsidRDefault="00262DBF" w:rsidP="00262DBF">
      <w:pPr>
        <w:pStyle w:val="Akapitzlist"/>
        <w:numPr>
          <w:ilvl w:val="0"/>
          <w:numId w:val="4"/>
        </w:numPr>
        <w:spacing w:line="360" w:lineRule="auto"/>
        <w:rPr>
          <w:rFonts w:ascii="Cambria" w:hAnsi="Cambria"/>
          <w:szCs w:val="24"/>
        </w:rPr>
      </w:pPr>
      <w:r w:rsidRPr="00262DBF">
        <w:rPr>
          <w:rFonts w:ascii="Cambria" w:hAnsi="Cambria"/>
          <w:szCs w:val="24"/>
        </w:rPr>
        <w:t>Grounds for refusal to recognize and execute freezing and confiscation orders under Regulation (EU) 2018/1805</w:t>
      </w:r>
    </w:p>
    <w:p w14:paraId="00062BD2" w14:textId="2FEC75DA" w:rsidR="00262DBF" w:rsidRPr="00262DBF" w:rsidRDefault="00262DBF" w:rsidP="00262DBF">
      <w:pPr>
        <w:pStyle w:val="Akapitzlist"/>
        <w:numPr>
          <w:ilvl w:val="0"/>
          <w:numId w:val="4"/>
        </w:numPr>
        <w:spacing w:line="360" w:lineRule="auto"/>
        <w:rPr>
          <w:rFonts w:ascii="Cambria" w:hAnsi="Cambria"/>
          <w:szCs w:val="24"/>
        </w:rPr>
      </w:pPr>
      <w:r w:rsidRPr="00262DBF">
        <w:rPr>
          <w:rFonts w:ascii="Cambria" w:hAnsi="Cambria"/>
          <w:szCs w:val="24"/>
        </w:rPr>
        <w:t>Criteria for determining EPPO’s jurisdiction over cross-border fraud and financial crimes</w:t>
      </w:r>
    </w:p>
    <w:p w14:paraId="14F16ED1" w14:textId="07CBC90C" w:rsidR="0080511D" w:rsidRPr="00262DBF" w:rsidRDefault="00262DBF" w:rsidP="00262DBF">
      <w:pPr>
        <w:pStyle w:val="Akapitzlist"/>
        <w:numPr>
          <w:ilvl w:val="0"/>
          <w:numId w:val="4"/>
        </w:numPr>
        <w:spacing w:line="360" w:lineRule="auto"/>
        <w:rPr>
          <w:rFonts w:ascii="Cambria" w:hAnsi="Cambria"/>
          <w:szCs w:val="24"/>
        </w:rPr>
      </w:pPr>
      <w:r w:rsidRPr="00262DBF">
        <w:rPr>
          <w:rFonts w:ascii="Cambria" w:hAnsi="Cambria"/>
          <w:szCs w:val="24"/>
        </w:rPr>
        <w:lastRenderedPageBreak/>
        <w:t>Cooperation mechanisms between EPPO, national authorities, and EU institutions in criminal investigations</w:t>
      </w:r>
    </w:p>
    <w:p w14:paraId="5F390CC1" w14:textId="2D308E7F" w:rsidR="00262DBF" w:rsidRPr="00262DBF" w:rsidRDefault="00262DBF" w:rsidP="00262DBF">
      <w:pPr>
        <w:pStyle w:val="Akapitzlist"/>
        <w:numPr>
          <w:ilvl w:val="0"/>
          <w:numId w:val="4"/>
        </w:numPr>
        <w:spacing w:line="360" w:lineRule="auto"/>
        <w:rPr>
          <w:rFonts w:ascii="Cambria" w:hAnsi="Cambria"/>
          <w:szCs w:val="24"/>
        </w:rPr>
      </w:pPr>
      <w:r w:rsidRPr="00262DBF">
        <w:rPr>
          <w:rFonts w:ascii="Cambria" w:hAnsi="Cambria"/>
          <w:szCs w:val="24"/>
        </w:rPr>
        <w:t>The role of OLAF in protecting EU financial interests and its collaboration with Member States</w:t>
      </w:r>
    </w:p>
    <w:p w14:paraId="1D334FE4" w14:textId="77777777" w:rsidR="00813F27" w:rsidRPr="00262DBF" w:rsidRDefault="00813F27" w:rsidP="00262DBF">
      <w:pPr>
        <w:spacing w:line="360" w:lineRule="auto"/>
        <w:rPr>
          <w:rFonts w:ascii="Cambria" w:hAnsi="Cambria"/>
          <w:szCs w:val="24"/>
        </w:rPr>
      </w:pPr>
    </w:p>
    <w:p w14:paraId="76FFDFCC" w14:textId="77777777" w:rsidR="00813F27" w:rsidRPr="00262DBF" w:rsidRDefault="00813F27" w:rsidP="00262DBF">
      <w:pPr>
        <w:spacing w:line="360" w:lineRule="auto"/>
        <w:rPr>
          <w:rFonts w:ascii="Cambria" w:hAnsi="Cambria"/>
          <w:szCs w:val="24"/>
        </w:rPr>
      </w:pPr>
    </w:p>
    <w:p w14:paraId="04E0A176" w14:textId="77777777" w:rsidR="00813F27" w:rsidRPr="00262DBF" w:rsidRDefault="00813F27" w:rsidP="00262DBF">
      <w:pPr>
        <w:spacing w:line="360" w:lineRule="auto"/>
        <w:rPr>
          <w:rFonts w:ascii="Cambria" w:hAnsi="Cambria"/>
          <w:b/>
          <w:bCs/>
          <w:szCs w:val="24"/>
        </w:rPr>
      </w:pPr>
      <w:r w:rsidRPr="00262DBF">
        <w:rPr>
          <w:rFonts w:ascii="Cambria" w:hAnsi="Cambria"/>
          <w:b/>
          <w:bCs/>
          <w:szCs w:val="24"/>
        </w:rPr>
        <w:br w:type="page"/>
      </w:r>
    </w:p>
    <w:p w14:paraId="1B82D6F3" w14:textId="5E768BDE" w:rsidR="00C55324" w:rsidRPr="00262DBF" w:rsidRDefault="00B42850" w:rsidP="00262DBF">
      <w:pPr>
        <w:spacing w:line="360" w:lineRule="auto"/>
        <w:rPr>
          <w:rFonts w:ascii="Cambria" w:hAnsi="Cambria"/>
          <w:b/>
          <w:bCs/>
          <w:szCs w:val="24"/>
        </w:rPr>
      </w:pPr>
      <w:r w:rsidRPr="00262DBF">
        <w:rPr>
          <w:rFonts w:ascii="Cambria" w:hAnsi="Cambria"/>
          <w:b/>
          <w:bCs/>
          <w:szCs w:val="24"/>
        </w:rPr>
        <w:lastRenderedPageBreak/>
        <w:t>Legal acts</w:t>
      </w:r>
    </w:p>
    <w:p w14:paraId="27815733" w14:textId="36E4C8BC" w:rsidR="00B42850" w:rsidRPr="00262DBF" w:rsidRDefault="00B42850" w:rsidP="00262DBF">
      <w:pPr>
        <w:numPr>
          <w:ilvl w:val="0"/>
          <w:numId w:val="2"/>
        </w:numPr>
        <w:spacing w:line="360" w:lineRule="auto"/>
        <w:rPr>
          <w:rFonts w:ascii="Cambria" w:hAnsi="Cambria"/>
          <w:szCs w:val="24"/>
        </w:rPr>
      </w:pPr>
      <w:r w:rsidRPr="00262DBF">
        <w:rPr>
          <w:rFonts w:ascii="Cambria" w:hAnsi="Cambria"/>
          <w:szCs w:val="24"/>
        </w:rPr>
        <w:t xml:space="preserve">Treaty on European Union and the Treaty on the Functioning of the European Union </w:t>
      </w:r>
    </w:p>
    <w:p w14:paraId="11F5AFC7" w14:textId="3CD737B8" w:rsidR="00C55324" w:rsidRPr="00262DBF" w:rsidRDefault="00C55324" w:rsidP="00262DBF">
      <w:pPr>
        <w:numPr>
          <w:ilvl w:val="0"/>
          <w:numId w:val="2"/>
        </w:numPr>
        <w:spacing w:line="360" w:lineRule="auto"/>
        <w:rPr>
          <w:rFonts w:ascii="Cambria" w:hAnsi="Cambria"/>
          <w:szCs w:val="24"/>
        </w:rPr>
      </w:pPr>
      <w:r w:rsidRPr="00262DBF">
        <w:rPr>
          <w:rFonts w:ascii="Cambria" w:hAnsi="Cambria"/>
          <w:szCs w:val="24"/>
        </w:rPr>
        <w:t>Directive 2010/64/EU of the European Parliament and of the Council of 20 October 2010 on the right to interpretation and translation in criminal proceedings</w:t>
      </w:r>
    </w:p>
    <w:p w14:paraId="19651A58" w14:textId="77777777" w:rsidR="00C55324" w:rsidRPr="00262DBF" w:rsidRDefault="00C55324" w:rsidP="00262DBF">
      <w:pPr>
        <w:numPr>
          <w:ilvl w:val="0"/>
          <w:numId w:val="2"/>
        </w:numPr>
        <w:spacing w:line="360" w:lineRule="auto"/>
        <w:rPr>
          <w:rFonts w:ascii="Cambria" w:hAnsi="Cambria"/>
          <w:szCs w:val="24"/>
        </w:rPr>
      </w:pPr>
      <w:r w:rsidRPr="00262DBF">
        <w:rPr>
          <w:rFonts w:ascii="Cambria" w:hAnsi="Cambria"/>
          <w:szCs w:val="24"/>
        </w:rPr>
        <w:t>Directive 2012/13/EU of the European Parliament and of the Council of 22 May 2012 on the right to information in criminal proceedings</w:t>
      </w:r>
    </w:p>
    <w:p w14:paraId="56B06C85" w14:textId="77777777" w:rsidR="00C55324" w:rsidRPr="00262DBF" w:rsidRDefault="00C55324" w:rsidP="00262DBF">
      <w:pPr>
        <w:numPr>
          <w:ilvl w:val="0"/>
          <w:numId w:val="2"/>
        </w:numPr>
        <w:spacing w:line="360" w:lineRule="auto"/>
        <w:rPr>
          <w:rFonts w:ascii="Cambria" w:hAnsi="Cambria"/>
          <w:szCs w:val="24"/>
        </w:rPr>
      </w:pPr>
      <w:r w:rsidRPr="00262DBF">
        <w:rPr>
          <w:rFonts w:ascii="Cambria" w:hAnsi="Cambria"/>
          <w:szCs w:val="24"/>
        </w:rPr>
        <w:t>Directive 2013/48/EU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w:t>
      </w:r>
    </w:p>
    <w:p w14:paraId="49402041" w14:textId="77777777" w:rsidR="00C55324" w:rsidRPr="00262DBF" w:rsidRDefault="00C55324" w:rsidP="00262DBF">
      <w:pPr>
        <w:numPr>
          <w:ilvl w:val="0"/>
          <w:numId w:val="2"/>
        </w:numPr>
        <w:spacing w:line="360" w:lineRule="auto"/>
        <w:rPr>
          <w:rFonts w:ascii="Cambria" w:hAnsi="Cambria"/>
          <w:szCs w:val="24"/>
        </w:rPr>
      </w:pPr>
      <w:r w:rsidRPr="00262DBF">
        <w:rPr>
          <w:rFonts w:ascii="Cambria" w:hAnsi="Cambria"/>
          <w:szCs w:val="24"/>
        </w:rPr>
        <w:t>Directive (EU) 2016/343 of the European Parliament and of the Council of 9 March 2016 on the strengthening of certain aspects of the presumption of innocence and of the right to be present at the trial in criminal proceedings</w:t>
      </w:r>
    </w:p>
    <w:p w14:paraId="3C2233B5" w14:textId="77777777" w:rsidR="00C55324" w:rsidRPr="00262DBF" w:rsidRDefault="00C55324" w:rsidP="00262DBF">
      <w:pPr>
        <w:numPr>
          <w:ilvl w:val="0"/>
          <w:numId w:val="2"/>
        </w:numPr>
        <w:spacing w:line="360" w:lineRule="auto"/>
        <w:rPr>
          <w:rFonts w:ascii="Cambria" w:hAnsi="Cambria"/>
          <w:szCs w:val="24"/>
        </w:rPr>
      </w:pPr>
      <w:r w:rsidRPr="00262DBF">
        <w:rPr>
          <w:rFonts w:ascii="Cambria" w:hAnsi="Cambria"/>
          <w:szCs w:val="24"/>
        </w:rPr>
        <w:t>Directive (EU) 2016/800 of the European Parliament and of the Council of 11 May 2016 on procedural safeguards for children who are suspects or accused persons in criminal proceedings</w:t>
      </w:r>
    </w:p>
    <w:p w14:paraId="07267548" w14:textId="2F88A27D" w:rsidR="00C55324" w:rsidRPr="00262DBF" w:rsidRDefault="00C55324" w:rsidP="00262DBF">
      <w:pPr>
        <w:numPr>
          <w:ilvl w:val="0"/>
          <w:numId w:val="2"/>
        </w:numPr>
        <w:spacing w:line="360" w:lineRule="auto"/>
        <w:rPr>
          <w:rFonts w:ascii="Cambria" w:hAnsi="Cambria"/>
          <w:szCs w:val="24"/>
        </w:rPr>
      </w:pPr>
      <w:r w:rsidRPr="00262DBF">
        <w:rPr>
          <w:rFonts w:ascii="Cambria" w:hAnsi="Cambria"/>
          <w:szCs w:val="24"/>
        </w:rPr>
        <w:t>Directive (EU) 2016/1919 of the European Parliament and of the Council of 26 October 2016 on legal aid for suspects and accused persons in criminal proceedings and for requested persons in European arrest warrant proceedings</w:t>
      </w:r>
    </w:p>
    <w:p w14:paraId="3E10E85D" w14:textId="77777777" w:rsidR="00C55324" w:rsidRPr="00262DBF" w:rsidRDefault="00C55324" w:rsidP="00262DBF">
      <w:pPr>
        <w:numPr>
          <w:ilvl w:val="0"/>
          <w:numId w:val="2"/>
        </w:numPr>
        <w:spacing w:line="360" w:lineRule="auto"/>
        <w:rPr>
          <w:rFonts w:ascii="Cambria" w:hAnsi="Cambria"/>
          <w:szCs w:val="24"/>
        </w:rPr>
      </w:pPr>
      <w:r w:rsidRPr="00262DBF">
        <w:rPr>
          <w:rFonts w:ascii="Cambria" w:hAnsi="Cambria"/>
          <w:szCs w:val="24"/>
        </w:rPr>
        <w:t>Directive 2012/29/EU of the European Parliament and of the Council of 25 October 2012 establishing minimum standards on the rights, support and protection of victims of crime, and replacing Council Framework Decision 2001/220/JHA</w:t>
      </w:r>
    </w:p>
    <w:p w14:paraId="29AF105A" w14:textId="77777777" w:rsidR="00C55324" w:rsidRPr="00262DBF" w:rsidRDefault="00C55324" w:rsidP="00262DBF">
      <w:pPr>
        <w:numPr>
          <w:ilvl w:val="0"/>
          <w:numId w:val="2"/>
        </w:numPr>
        <w:spacing w:line="360" w:lineRule="auto"/>
        <w:rPr>
          <w:rFonts w:ascii="Cambria" w:hAnsi="Cambria"/>
          <w:szCs w:val="24"/>
        </w:rPr>
      </w:pPr>
      <w:r w:rsidRPr="00262DBF">
        <w:rPr>
          <w:rFonts w:ascii="Cambria" w:hAnsi="Cambria"/>
          <w:szCs w:val="24"/>
        </w:rPr>
        <w:t>Directive 2011/36/EU of the European Parliament and of the Council of 5 April 2011 on preventing and combating trafficking in human beings and protecting its victims, and replacing Council Framework Decision 2002/629/JHA</w:t>
      </w:r>
    </w:p>
    <w:p w14:paraId="3C131AFF" w14:textId="77777777" w:rsidR="00C55324" w:rsidRPr="00262DBF" w:rsidRDefault="00C55324" w:rsidP="00262DBF">
      <w:pPr>
        <w:numPr>
          <w:ilvl w:val="0"/>
          <w:numId w:val="2"/>
        </w:numPr>
        <w:spacing w:line="360" w:lineRule="auto"/>
        <w:rPr>
          <w:rFonts w:ascii="Cambria" w:hAnsi="Cambria"/>
          <w:szCs w:val="24"/>
        </w:rPr>
      </w:pPr>
      <w:r w:rsidRPr="00262DBF">
        <w:rPr>
          <w:rFonts w:ascii="Cambria" w:hAnsi="Cambria"/>
          <w:szCs w:val="24"/>
        </w:rPr>
        <w:t>Directive 2011/92/EU of the European Parliament and of the Council of 13 December 2011 on combating the sexual abuse and sexual exploitation of children and child pornography, and replacing Council Framework Decision 2004/68/JHA</w:t>
      </w:r>
    </w:p>
    <w:p w14:paraId="43FF7B5C" w14:textId="77777777" w:rsidR="00C55324" w:rsidRPr="00262DBF" w:rsidRDefault="00C55324" w:rsidP="00262DBF">
      <w:pPr>
        <w:numPr>
          <w:ilvl w:val="0"/>
          <w:numId w:val="2"/>
        </w:numPr>
        <w:spacing w:line="360" w:lineRule="auto"/>
        <w:rPr>
          <w:rFonts w:ascii="Cambria" w:hAnsi="Cambria"/>
          <w:szCs w:val="24"/>
        </w:rPr>
      </w:pPr>
      <w:r w:rsidRPr="00262DBF">
        <w:rPr>
          <w:rFonts w:ascii="Cambria" w:hAnsi="Cambria"/>
          <w:szCs w:val="24"/>
        </w:rPr>
        <w:t>Directive 2011/99/EU of the European Parliament and of the Council of 13 December 2011on the European protection order (EPO)</w:t>
      </w:r>
    </w:p>
    <w:p w14:paraId="3B2C4047" w14:textId="77777777" w:rsidR="00C55324" w:rsidRPr="00262DBF" w:rsidRDefault="00C55324" w:rsidP="00262DBF">
      <w:pPr>
        <w:numPr>
          <w:ilvl w:val="0"/>
          <w:numId w:val="2"/>
        </w:numPr>
        <w:spacing w:line="360" w:lineRule="auto"/>
        <w:rPr>
          <w:rFonts w:ascii="Cambria" w:hAnsi="Cambria"/>
          <w:szCs w:val="24"/>
        </w:rPr>
      </w:pPr>
      <w:r w:rsidRPr="00262DBF">
        <w:rPr>
          <w:rFonts w:ascii="Cambria" w:hAnsi="Cambria"/>
          <w:szCs w:val="24"/>
        </w:rPr>
        <w:t>Council Directive 2004/80/EC of 29 April 2004 relating to compensation to crime victims</w:t>
      </w:r>
    </w:p>
    <w:p w14:paraId="09312283" w14:textId="77777777" w:rsidR="00C55324" w:rsidRPr="00262DBF" w:rsidRDefault="00C55324" w:rsidP="00262DBF">
      <w:pPr>
        <w:numPr>
          <w:ilvl w:val="0"/>
          <w:numId w:val="2"/>
        </w:numPr>
        <w:spacing w:line="360" w:lineRule="auto"/>
        <w:rPr>
          <w:rFonts w:ascii="Cambria" w:hAnsi="Cambria"/>
          <w:szCs w:val="24"/>
        </w:rPr>
      </w:pPr>
      <w:r w:rsidRPr="00262DBF">
        <w:rPr>
          <w:rFonts w:ascii="Cambria" w:hAnsi="Cambria"/>
          <w:szCs w:val="24"/>
        </w:rPr>
        <w:lastRenderedPageBreak/>
        <w:t>Council Framework Decision 2008/913/JHA of 28 November 2008 on combating certain forms and expressions of racism and xenophobia by means of criminal law</w:t>
      </w:r>
    </w:p>
    <w:p w14:paraId="27CE589F" w14:textId="7F520A82" w:rsidR="00C55324" w:rsidRPr="00262DBF" w:rsidRDefault="00C55324" w:rsidP="00262DBF">
      <w:pPr>
        <w:numPr>
          <w:ilvl w:val="0"/>
          <w:numId w:val="2"/>
        </w:numPr>
        <w:spacing w:line="360" w:lineRule="auto"/>
        <w:rPr>
          <w:rFonts w:ascii="Cambria" w:hAnsi="Cambria"/>
          <w:szCs w:val="24"/>
        </w:rPr>
      </w:pPr>
      <w:r w:rsidRPr="00262DBF">
        <w:rPr>
          <w:rFonts w:ascii="Cambria" w:hAnsi="Cambria"/>
          <w:szCs w:val="24"/>
        </w:rPr>
        <w:t>Directive (EU) 2017/541 of the European Parliament and of the Council of 15 March 2017 on combating terrorism and replacing Council Framework Decision 2002/475/JHA and amending Council Decision 2005/671/JHA</w:t>
      </w:r>
    </w:p>
    <w:p w14:paraId="096A2201" w14:textId="684FDB23" w:rsidR="00C55324" w:rsidRPr="00262DBF" w:rsidRDefault="00C55324" w:rsidP="00262DBF">
      <w:pPr>
        <w:numPr>
          <w:ilvl w:val="0"/>
          <w:numId w:val="2"/>
        </w:numPr>
        <w:spacing w:line="360" w:lineRule="auto"/>
        <w:rPr>
          <w:rFonts w:ascii="Cambria" w:hAnsi="Cambria"/>
          <w:szCs w:val="24"/>
        </w:rPr>
      </w:pPr>
      <w:r w:rsidRPr="00262DBF">
        <w:rPr>
          <w:rFonts w:ascii="Cambria" w:hAnsi="Cambria"/>
          <w:szCs w:val="24"/>
        </w:rPr>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(Text with EEA relevance)</w:t>
      </w:r>
    </w:p>
    <w:p w14:paraId="5A96CF90" w14:textId="54F1F6DC" w:rsidR="00C55324" w:rsidRPr="00262DBF" w:rsidRDefault="00C55324" w:rsidP="00262DBF">
      <w:pPr>
        <w:numPr>
          <w:ilvl w:val="0"/>
          <w:numId w:val="2"/>
        </w:numPr>
        <w:spacing w:line="360" w:lineRule="auto"/>
        <w:rPr>
          <w:rFonts w:ascii="Cambria" w:hAnsi="Cambria"/>
          <w:szCs w:val="24"/>
        </w:rPr>
      </w:pPr>
      <w:r w:rsidRPr="00262DBF">
        <w:rPr>
          <w:rFonts w:ascii="Cambria" w:hAnsi="Cambria"/>
          <w:szCs w:val="24"/>
        </w:rP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14:paraId="411DF0D6" w14:textId="4846FD83" w:rsidR="00813F27" w:rsidRPr="00262DBF" w:rsidRDefault="00813F27" w:rsidP="00262DBF">
      <w:pPr>
        <w:numPr>
          <w:ilvl w:val="0"/>
          <w:numId w:val="2"/>
        </w:numPr>
        <w:spacing w:line="360" w:lineRule="auto"/>
        <w:rPr>
          <w:rFonts w:ascii="Cambria" w:hAnsi="Cambria"/>
          <w:szCs w:val="24"/>
        </w:rPr>
      </w:pPr>
      <w:r w:rsidRPr="00262DBF">
        <w:rPr>
          <w:rFonts w:ascii="Cambria" w:hAnsi="Cambria"/>
          <w:szCs w:val="24"/>
        </w:rPr>
        <w:t>Directive (EU) 2024/1385 of the European Parliament and of the Council of 14 May 2024 on combating violence against women and domestic violence</w:t>
      </w:r>
    </w:p>
    <w:p w14:paraId="33A2521E" w14:textId="77777777" w:rsidR="00F921D9" w:rsidRPr="00262DBF" w:rsidRDefault="00F921D9" w:rsidP="00262DBF">
      <w:pPr>
        <w:spacing w:line="360" w:lineRule="auto"/>
        <w:rPr>
          <w:rFonts w:ascii="Cambria" w:hAnsi="Cambria"/>
          <w:szCs w:val="24"/>
        </w:rPr>
      </w:pPr>
    </w:p>
    <w:p w14:paraId="131AD77B" w14:textId="77777777" w:rsidR="00F921D9" w:rsidRPr="00262DBF" w:rsidRDefault="00F921D9" w:rsidP="00262DBF">
      <w:pPr>
        <w:spacing w:line="360" w:lineRule="auto"/>
        <w:rPr>
          <w:rFonts w:ascii="Cambria" w:hAnsi="Cambria"/>
          <w:szCs w:val="24"/>
        </w:rPr>
      </w:pPr>
    </w:p>
    <w:p w14:paraId="4FF10BE8" w14:textId="2DA48BD3" w:rsidR="00F921D9" w:rsidRPr="00262DBF" w:rsidRDefault="00F921D9" w:rsidP="00262DBF">
      <w:pPr>
        <w:pStyle w:val="Akapitzlist"/>
        <w:numPr>
          <w:ilvl w:val="0"/>
          <w:numId w:val="5"/>
        </w:numPr>
        <w:spacing w:line="360" w:lineRule="auto"/>
        <w:rPr>
          <w:rFonts w:ascii="Cambria" w:hAnsi="Cambria"/>
          <w:szCs w:val="24"/>
        </w:rPr>
      </w:pPr>
      <w:r w:rsidRPr="00262DBF">
        <w:rPr>
          <w:rFonts w:ascii="Cambria" w:hAnsi="Cambria"/>
          <w:szCs w:val="24"/>
        </w:rPr>
        <w:t>Council Framework Decision</w:t>
      </w:r>
      <w:r w:rsidRPr="00262DBF">
        <w:rPr>
          <w:rFonts w:ascii="Cambria" w:hAnsi="Cambria"/>
          <w:szCs w:val="24"/>
        </w:rPr>
        <w:t xml:space="preserve"> </w:t>
      </w:r>
      <w:r w:rsidRPr="00262DBF">
        <w:rPr>
          <w:rFonts w:ascii="Cambria" w:hAnsi="Cambria"/>
          <w:szCs w:val="24"/>
        </w:rPr>
        <w:t>2002/584/JHA of 13 June 2002 on the European arrest warrant and the surrender procedures between Member States - Statements made by certain Member States on the adoption of the Framework Decision</w:t>
      </w:r>
    </w:p>
    <w:p w14:paraId="38895F74" w14:textId="15790965" w:rsidR="00F921D9" w:rsidRPr="00262DBF" w:rsidRDefault="00F921D9" w:rsidP="00262DBF">
      <w:pPr>
        <w:pStyle w:val="Akapitzlist"/>
        <w:numPr>
          <w:ilvl w:val="0"/>
          <w:numId w:val="5"/>
        </w:numPr>
        <w:spacing w:line="360" w:lineRule="auto"/>
        <w:rPr>
          <w:rFonts w:ascii="Cambria" w:hAnsi="Cambria"/>
          <w:szCs w:val="24"/>
        </w:rPr>
      </w:pPr>
      <w:r w:rsidRPr="00262DBF">
        <w:rPr>
          <w:rFonts w:ascii="Cambria" w:hAnsi="Cambria"/>
          <w:szCs w:val="24"/>
        </w:rPr>
        <w:t>Agreement on the withdrawal of the United Kingdom of Great Britain and Northern Ireland from the European Union and the European Atomic Energy Community</w:t>
      </w:r>
    </w:p>
    <w:p w14:paraId="4DB7B48E" w14:textId="22B164C5" w:rsidR="003E1315" w:rsidRPr="00262DBF" w:rsidRDefault="00F921D9" w:rsidP="00262DBF">
      <w:pPr>
        <w:pStyle w:val="Akapitzlist"/>
        <w:numPr>
          <w:ilvl w:val="0"/>
          <w:numId w:val="5"/>
        </w:numPr>
        <w:spacing w:line="360" w:lineRule="auto"/>
        <w:rPr>
          <w:rFonts w:ascii="Cambria" w:hAnsi="Cambria"/>
          <w:szCs w:val="24"/>
        </w:rPr>
      </w:pPr>
      <w:r w:rsidRPr="00262DBF">
        <w:rPr>
          <w:rFonts w:ascii="Cambria" w:hAnsi="Cambria"/>
          <w:szCs w:val="24"/>
        </w:rPr>
        <w:t>The Schengen acquis - Convention implementing the Schengen Agreement of 14 June 1985 between the Governments of the States of the Benelux Economic Union, the Federal Republic of Germany and the French Republic on the gradual abolition of checks at their common borders</w:t>
      </w:r>
      <w:r w:rsidRPr="00262DBF">
        <w:rPr>
          <w:rFonts w:ascii="Cambria" w:hAnsi="Cambria"/>
          <w:szCs w:val="24"/>
        </w:rPr>
        <w:t xml:space="preserve"> – articles </w:t>
      </w:r>
      <w:r w:rsidR="003E1315" w:rsidRPr="00262DBF">
        <w:rPr>
          <w:rFonts w:ascii="Cambria" w:hAnsi="Cambria"/>
          <w:szCs w:val="24"/>
        </w:rPr>
        <w:t xml:space="preserve">41-47; </w:t>
      </w:r>
      <w:r w:rsidRPr="00262DBF">
        <w:rPr>
          <w:rFonts w:ascii="Cambria" w:hAnsi="Cambria"/>
          <w:szCs w:val="24"/>
        </w:rPr>
        <w:t>54 – 58</w:t>
      </w:r>
    </w:p>
    <w:p w14:paraId="12FB96DD" w14:textId="45F9A897" w:rsidR="003E1315" w:rsidRPr="00262DBF" w:rsidRDefault="003E1315" w:rsidP="00262DBF">
      <w:pPr>
        <w:pStyle w:val="Akapitzlist"/>
        <w:numPr>
          <w:ilvl w:val="0"/>
          <w:numId w:val="5"/>
        </w:numPr>
        <w:spacing w:line="360" w:lineRule="auto"/>
        <w:rPr>
          <w:rFonts w:ascii="Cambria" w:hAnsi="Cambria"/>
          <w:szCs w:val="24"/>
        </w:rPr>
      </w:pPr>
      <w:r w:rsidRPr="00262DBF">
        <w:rPr>
          <w:rFonts w:ascii="Cambria" w:hAnsi="Cambria"/>
          <w:szCs w:val="24"/>
        </w:rPr>
        <w:t>Directive 2014/41/EU of the European Parliament and of the Council of 3 April 2014 regarding the European Investigation Order in criminal matters</w:t>
      </w:r>
    </w:p>
    <w:p w14:paraId="4142C374" w14:textId="470184CD" w:rsidR="003E1315" w:rsidRPr="00262DBF" w:rsidRDefault="003E1315" w:rsidP="00262DBF">
      <w:pPr>
        <w:pStyle w:val="Akapitzlist"/>
        <w:numPr>
          <w:ilvl w:val="0"/>
          <w:numId w:val="5"/>
        </w:numPr>
        <w:spacing w:line="360" w:lineRule="auto"/>
        <w:rPr>
          <w:rFonts w:ascii="Cambria" w:hAnsi="Cambria"/>
          <w:szCs w:val="24"/>
        </w:rPr>
      </w:pPr>
      <w:r w:rsidRPr="00262DBF">
        <w:rPr>
          <w:rFonts w:ascii="Cambria" w:hAnsi="Cambria"/>
          <w:szCs w:val="24"/>
        </w:rPr>
        <w:t>Directive 2011/99/EU of the European Parliament and of the Council of 13 December 2011 on the European protection order</w:t>
      </w:r>
    </w:p>
    <w:p w14:paraId="1E5C909A" w14:textId="317B5C7A" w:rsidR="003E1315" w:rsidRPr="00262DBF" w:rsidRDefault="003E1315" w:rsidP="00262DBF">
      <w:pPr>
        <w:pStyle w:val="Akapitzlist"/>
        <w:numPr>
          <w:ilvl w:val="0"/>
          <w:numId w:val="5"/>
        </w:numPr>
        <w:spacing w:line="360" w:lineRule="auto"/>
        <w:rPr>
          <w:rFonts w:ascii="Cambria" w:hAnsi="Cambria"/>
          <w:szCs w:val="24"/>
        </w:rPr>
      </w:pPr>
      <w:r w:rsidRPr="00262DBF">
        <w:rPr>
          <w:rFonts w:ascii="Cambria" w:hAnsi="Cambria"/>
          <w:szCs w:val="24"/>
        </w:rPr>
        <w:t>Council Framework Decision 2005/214/JHA of 24 February 2005 on the application of the principle of mutual recognition to financial penalties</w:t>
      </w:r>
    </w:p>
    <w:p w14:paraId="377B4B8D" w14:textId="77777777" w:rsidR="00F82670" w:rsidRPr="00262DBF" w:rsidRDefault="00F82670" w:rsidP="00262DBF">
      <w:pPr>
        <w:pStyle w:val="title-bold"/>
        <w:numPr>
          <w:ilvl w:val="0"/>
          <w:numId w:val="5"/>
        </w:numPr>
        <w:shd w:val="clear" w:color="auto" w:fill="FFFFFF"/>
        <w:spacing w:before="0" w:beforeAutospacing="0" w:after="75" w:afterAutospacing="0" w:line="360" w:lineRule="auto"/>
        <w:jc w:val="both"/>
        <w:rPr>
          <w:rFonts w:ascii="Cambria" w:hAnsi="Cambria"/>
          <w:color w:val="333333"/>
        </w:rPr>
      </w:pPr>
      <w:r w:rsidRPr="00262DBF">
        <w:rPr>
          <w:rFonts w:ascii="Cambria" w:hAnsi="Cambria"/>
          <w:color w:val="333333"/>
        </w:rPr>
        <w:lastRenderedPageBreak/>
        <w:t>Directive (EU) 2015/413 of the European Parliament and of the Council of 11 March 2015 facilitating cross-border exchange of information on road-safety-related traffic offences Text with EEA relevance</w:t>
      </w:r>
    </w:p>
    <w:p w14:paraId="3FEFB426" w14:textId="77777777" w:rsidR="00F82670" w:rsidRPr="00262DBF" w:rsidRDefault="00F82670" w:rsidP="00262DBF">
      <w:pPr>
        <w:pStyle w:val="Akapitzlist"/>
        <w:numPr>
          <w:ilvl w:val="0"/>
          <w:numId w:val="5"/>
        </w:numPr>
        <w:spacing w:line="360" w:lineRule="auto"/>
        <w:rPr>
          <w:rFonts w:ascii="Cambria" w:hAnsi="Cambria"/>
          <w:szCs w:val="24"/>
        </w:rPr>
      </w:pPr>
      <w:r w:rsidRPr="00262DBF">
        <w:rPr>
          <w:rFonts w:ascii="Cambria" w:hAnsi="Cambria"/>
          <w:szCs w:val="24"/>
        </w:rPr>
        <w:t>Council Framework Decision 2009/948/JHA of 30 November 2009 on prevention and settlement of conflicts of exercise of jurisdiction in criminal proceedings</w:t>
      </w:r>
    </w:p>
    <w:p w14:paraId="3C63154D" w14:textId="77777777" w:rsidR="00740ABF" w:rsidRPr="00262DBF" w:rsidRDefault="00740ABF" w:rsidP="00262DBF">
      <w:pPr>
        <w:pStyle w:val="Akapitzlist"/>
        <w:numPr>
          <w:ilvl w:val="0"/>
          <w:numId w:val="5"/>
        </w:numPr>
        <w:spacing w:line="360" w:lineRule="auto"/>
        <w:rPr>
          <w:rFonts w:ascii="Cambria" w:hAnsi="Cambria"/>
          <w:szCs w:val="24"/>
        </w:rPr>
      </w:pPr>
      <w:r w:rsidRPr="00262DBF">
        <w:rPr>
          <w:rFonts w:ascii="Cambria" w:hAnsi="Cambria"/>
          <w:szCs w:val="24"/>
        </w:rPr>
        <w:t>Council Framework Decision 2008/909/JHA of 27 November 2008 on the application of the principle of mutual recognition to judgments in criminal matters imposing custodial sentences or measures involving deprivation of liberty for the purpose of their enforcement in the European Union</w:t>
      </w:r>
    </w:p>
    <w:p w14:paraId="4025F870" w14:textId="690A53B8" w:rsidR="00F82670" w:rsidRPr="00262DBF" w:rsidRDefault="00262DBF" w:rsidP="00262DBF">
      <w:pPr>
        <w:pStyle w:val="Akapitzlist"/>
        <w:numPr>
          <w:ilvl w:val="0"/>
          <w:numId w:val="5"/>
        </w:numPr>
        <w:spacing w:line="360" w:lineRule="auto"/>
        <w:rPr>
          <w:rFonts w:ascii="Cambria" w:hAnsi="Cambria"/>
          <w:szCs w:val="24"/>
        </w:rPr>
      </w:pPr>
      <w:r w:rsidRPr="00262DBF">
        <w:rPr>
          <w:rFonts w:ascii="Cambria" w:hAnsi="Cambria"/>
          <w:szCs w:val="24"/>
        </w:rPr>
        <w:t>Regulation (EU) 2018/1805 of the European Parliament and of the Council of 14 November 2018 on the mutual recognition of freezing orders and confiscation orders</w:t>
      </w:r>
    </w:p>
    <w:p w14:paraId="437FCEC2" w14:textId="77777777" w:rsidR="00262DBF" w:rsidRPr="00262DBF" w:rsidRDefault="00262DBF" w:rsidP="00262DBF">
      <w:pPr>
        <w:pStyle w:val="Akapitzlist"/>
        <w:numPr>
          <w:ilvl w:val="0"/>
          <w:numId w:val="5"/>
        </w:numPr>
        <w:spacing w:line="360" w:lineRule="auto"/>
        <w:rPr>
          <w:rFonts w:ascii="Cambria" w:hAnsi="Cambria"/>
          <w:szCs w:val="24"/>
        </w:rPr>
      </w:pPr>
      <w:r w:rsidRPr="00262DBF">
        <w:rPr>
          <w:rFonts w:ascii="Cambria" w:hAnsi="Cambria"/>
          <w:szCs w:val="24"/>
        </w:rPr>
        <w:t>Council Regulation (EU) 2017/1939 of 12 October 2017 implementing enhanced cooperation on the establishment of the European Public Prosecutor’s Office (‘the EPPO’)</w:t>
      </w:r>
    </w:p>
    <w:p w14:paraId="7B85CE21" w14:textId="77777777" w:rsidR="00262DBF" w:rsidRPr="00262DBF" w:rsidRDefault="00262DBF" w:rsidP="00262DBF">
      <w:pPr>
        <w:pStyle w:val="title-bold"/>
        <w:numPr>
          <w:ilvl w:val="0"/>
          <w:numId w:val="5"/>
        </w:numPr>
        <w:shd w:val="clear" w:color="auto" w:fill="FFFFFF"/>
        <w:spacing w:before="0" w:beforeAutospacing="0" w:after="75" w:afterAutospacing="0" w:line="360" w:lineRule="auto"/>
        <w:jc w:val="both"/>
        <w:rPr>
          <w:rFonts w:ascii="Cambria" w:hAnsi="Cambria"/>
          <w:color w:val="333333"/>
        </w:rPr>
      </w:pPr>
      <w:r w:rsidRPr="00262DBF">
        <w:rPr>
          <w:rFonts w:ascii="Cambria" w:hAnsi="Cambria"/>
          <w:color w:val="333333"/>
        </w:rP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w:t>
      </w:r>
    </w:p>
    <w:p w14:paraId="5E36902E" w14:textId="77777777" w:rsidR="00262DBF" w:rsidRPr="00262DBF" w:rsidRDefault="00262DBF" w:rsidP="00262DBF">
      <w:pPr>
        <w:pStyle w:val="Akapitzlist"/>
        <w:spacing w:line="360" w:lineRule="auto"/>
        <w:rPr>
          <w:rFonts w:ascii="Cambria" w:hAnsi="Cambria"/>
          <w:szCs w:val="24"/>
        </w:rPr>
      </w:pPr>
    </w:p>
    <w:p w14:paraId="1051934A" w14:textId="77777777" w:rsidR="00133D61" w:rsidRPr="00262DBF" w:rsidRDefault="00133D61" w:rsidP="00262DBF">
      <w:pPr>
        <w:spacing w:line="360" w:lineRule="auto"/>
        <w:rPr>
          <w:rFonts w:ascii="Cambria" w:hAnsi="Cambria"/>
          <w:szCs w:val="24"/>
        </w:rPr>
      </w:pPr>
    </w:p>
    <w:p w14:paraId="34A22B16" w14:textId="77777777" w:rsidR="00133D61" w:rsidRPr="00262DBF" w:rsidRDefault="00133D61" w:rsidP="00262DBF">
      <w:pPr>
        <w:spacing w:line="360" w:lineRule="auto"/>
        <w:ind w:left="720" w:hanging="360"/>
        <w:rPr>
          <w:rFonts w:ascii="Cambria" w:hAnsi="Cambria"/>
          <w:b/>
          <w:bCs/>
          <w:szCs w:val="24"/>
        </w:rPr>
      </w:pPr>
    </w:p>
    <w:p w14:paraId="21B9B047" w14:textId="77777777" w:rsidR="00C55324" w:rsidRPr="00262DBF" w:rsidRDefault="00C55324" w:rsidP="00262DBF">
      <w:pPr>
        <w:spacing w:line="360" w:lineRule="auto"/>
        <w:rPr>
          <w:rFonts w:ascii="Cambria" w:hAnsi="Cambria"/>
          <w:szCs w:val="24"/>
        </w:rPr>
      </w:pPr>
    </w:p>
    <w:sectPr w:rsidR="00C55324" w:rsidRPr="00262DBF" w:rsidSect="00813F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82A"/>
    <w:multiLevelType w:val="hybridMultilevel"/>
    <w:tmpl w:val="9A986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75EBC"/>
    <w:multiLevelType w:val="hybridMultilevel"/>
    <w:tmpl w:val="23D86E46"/>
    <w:lvl w:ilvl="0" w:tplc="E9D073A4">
      <w:start w:val="1"/>
      <w:numFmt w:val="decimal"/>
      <w:lvlText w:val="%1."/>
      <w:lvlJc w:val="left"/>
      <w:pPr>
        <w:tabs>
          <w:tab w:val="num" w:pos="720"/>
        </w:tabs>
        <w:ind w:left="720" w:hanging="360"/>
      </w:pPr>
    </w:lvl>
    <w:lvl w:ilvl="1" w:tplc="D766E5F8" w:tentative="1">
      <w:start w:val="1"/>
      <w:numFmt w:val="decimal"/>
      <w:lvlText w:val="%2."/>
      <w:lvlJc w:val="left"/>
      <w:pPr>
        <w:tabs>
          <w:tab w:val="num" w:pos="1440"/>
        </w:tabs>
        <w:ind w:left="1440" w:hanging="360"/>
      </w:pPr>
    </w:lvl>
    <w:lvl w:ilvl="2" w:tplc="ED14A3BE" w:tentative="1">
      <w:start w:val="1"/>
      <w:numFmt w:val="decimal"/>
      <w:lvlText w:val="%3."/>
      <w:lvlJc w:val="left"/>
      <w:pPr>
        <w:tabs>
          <w:tab w:val="num" w:pos="2160"/>
        </w:tabs>
        <w:ind w:left="2160" w:hanging="360"/>
      </w:pPr>
    </w:lvl>
    <w:lvl w:ilvl="3" w:tplc="208E4D66" w:tentative="1">
      <w:start w:val="1"/>
      <w:numFmt w:val="decimal"/>
      <w:lvlText w:val="%4."/>
      <w:lvlJc w:val="left"/>
      <w:pPr>
        <w:tabs>
          <w:tab w:val="num" w:pos="2880"/>
        </w:tabs>
        <w:ind w:left="2880" w:hanging="360"/>
      </w:pPr>
    </w:lvl>
    <w:lvl w:ilvl="4" w:tplc="90BE749A" w:tentative="1">
      <w:start w:val="1"/>
      <w:numFmt w:val="decimal"/>
      <w:lvlText w:val="%5."/>
      <w:lvlJc w:val="left"/>
      <w:pPr>
        <w:tabs>
          <w:tab w:val="num" w:pos="3600"/>
        </w:tabs>
        <w:ind w:left="3600" w:hanging="360"/>
      </w:pPr>
    </w:lvl>
    <w:lvl w:ilvl="5" w:tplc="956491A8" w:tentative="1">
      <w:start w:val="1"/>
      <w:numFmt w:val="decimal"/>
      <w:lvlText w:val="%6."/>
      <w:lvlJc w:val="left"/>
      <w:pPr>
        <w:tabs>
          <w:tab w:val="num" w:pos="4320"/>
        </w:tabs>
        <w:ind w:left="4320" w:hanging="360"/>
      </w:pPr>
    </w:lvl>
    <w:lvl w:ilvl="6" w:tplc="64905AB2" w:tentative="1">
      <w:start w:val="1"/>
      <w:numFmt w:val="decimal"/>
      <w:lvlText w:val="%7."/>
      <w:lvlJc w:val="left"/>
      <w:pPr>
        <w:tabs>
          <w:tab w:val="num" w:pos="5040"/>
        </w:tabs>
        <w:ind w:left="5040" w:hanging="360"/>
      </w:pPr>
    </w:lvl>
    <w:lvl w:ilvl="7" w:tplc="EEEEB10E" w:tentative="1">
      <w:start w:val="1"/>
      <w:numFmt w:val="decimal"/>
      <w:lvlText w:val="%8."/>
      <w:lvlJc w:val="left"/>
      <w:pPr>
        <w:tabs>
          <w:tab w:val="num" w:pos="5760"/>
        </w:tabs>
        <w:ind w:left="5760" w:hanging="360"/>
      </w:pPr>
    </w:lvl>
    <w:lvl w:ilvl="8" w:tplc="04EC158A" w:tentative="1">
      <w:start w:val="1"/>
      <w:numFmt w:val="decimal"/>
      <w:lvlText w:val="%9."/>
      <w:lvlJc w:val="left"/>
      <w:pPr>
        <w:tabs>
          <w:tab w:val="num" w:pos="6480"/>
        </w:tabs>
        <w:ind w:left="6480" w:hanging="360"/>
      </w:pPr>
    </w:lvl>
  </w:abstractNum>
  <w:abstractNum w:abstractNumId="2" w15:restartNumberingAfterBreak="0">
    <w:nsid w:val="31D864E1"/>
    <w:multiLevelType w:val="hybridMultilevel"/>
    <w:tmpl w:val="8C10C648"/>
    <w:lvl w:ilvl="0" w:tplc="4B6AA8C8">
      <w:start w:val="1"/>
      <w:numFmt w:val="decimal"/>
      <w:lvlText w:val="%1."/>
      <w:lvlJc w:val="left"/>
      <w:pPr>
        <w:tabs>
          <w:tab w:val="num" w:pos="720"/>
        </w:tabs>
        <w:ind w:left="720" w:hanging="360"/>
      </w:pPr>
    </w:lvl>
    <w:lvl w:ilvl="1" w:tplc="B4D866AA" w:tentative="1">
      <w:start w:val="1"/>
      <w:numFmt w:val="decimal"/>
      <w:lvlText w:val="%2."/>
      <w:lvlJc w:val="left"/>
      <w:pPr>
        <w:tabs>
          <w:tab w:val="num" w:pos="1440"/>
        </w:tabs>
        <w:ind w:left="1440" w:hanging="360"/>
      </w:pPr>
    </w:lvl>
    <w:lvl w:ilvl="2" w:tplc="F1781CBC" w:tentative="1">
      <w:start w:val="1"/>
      <w:numFmt w:val="decimal"/>
      <w:lvlText w:val="%3."/>
      <w:lvlJc w:val="left"/>
      <w:pPr>
        <w:tabs>
          <w:tab w:val="num" w:pos="2160"/>
        </w:tabs>
        <w:ind w:left="2160" w:hanging="360"/>
      </w:pPr>
    </w:lvl>
    <w:lvl w:ilvl="3" w:tplc="C3E47974" w:tentative="1">
      <w:start w:val="1"/>
      <w:numFmt w:val="decimal"/>
      <w:lvlText w:val="%4."/>
      <w:lvlJc w:val="left"/>
      <w:pPr>
        <w:tabs>
          <w:tab w:val="num" w:pos="2880"/>
        </w:tabs>
        <w:ind w:left="2880" w:hanging="360"/>
      </w:pPr>
    </w:lvl>
    <w:lvl w:ilvl="4" w:tplc="D9DEB6A6" w:tentative="1">
      <w:start w:val="1"/>
      <w:numFmt w:val="decimal"/>
      <w:lvlText w:val="%5."/>
      <w:lvlJc w:val="left"/>
      <w:pPr>
        <w:tabs>
          <w:tab w:val="num" w:pos="3600"/>
        </w:tabs>
        <w:ind w:left="3600" w:hanging="360"/>
      </w:pPr>
    </w:lvl>
    <w:lvl w:ilvl="5" w:tplc="93387624" w:tentative="1">
      <w:start w:val="1"/>
      <w:numFmt w:val="decimal"/>
      <w:lvlText w:val="%6."/>
      <w:lvlJc w:val="left"/>
      <w:pPr>
        <w:tabs>
          <w:tab w:val="num" w:pos="4320"/>
        </w:tabs>
        <w:ind w:left="4320" w:hanging="360"/>
      </w:pPr>
    </w:lvl>
    <w:lvl w:ilvl="6" w:tplc="DD8E4FD6" w:tentative="1">
      <w:start w:val="1"/>
      <w:numFmt w:val="decimal"/>
      <w:lvlText w:val="%7."/>
      <w:lvlJc w:val="left"/>
      <w:pPr>
        <w:tabs>
          <w:tab w:val="num" w:pos="5040"/>
        </w:tabs>
        <w:ind w:left="5040" w:hanging="360"/>
      </w:pPr>
    </w:lvl>
    <w:lvl w:ilvl="7" w:tplc="2FC2A46E" w:tentative="1">
      <w:start w:val="1"/>
      <w:numFmt w:val="decimal"/>
      <w:lvlText w:val="%8."/>
      <w:lvlJc w:val="left"/>
      <w:pPr>
        <w:tabs>
          <w:tab w:val="num" w:pos="5760"/>
        </w:tabs>
        <w:ind w:left="5760" w:hanging="360"/>
      </w:pPr>
    </w:lvl>
    <w:lvl w:ilvl="8" w:tplc="AA60D3CA" w:tentative="1">
      <w:start w:val="1"/>
      <w:numFmt w:val="decimal"/>
      <w:lvlText w:val="%9."/>
      <w:lvlJc w:val="left"/>
      <w:pPr>
        <w:tabs>
          <w:tab w:val="num" w:pos="6480"/>
        </w:tabs>
        <w:ind w:left="6480" w:hanging="360"/>
      </w:pPr>
    </w:lvl>
  </w:abstractNum>
  <w:abstractNum w:abstractNumId="3" w15:restartNumberingAfterBreak="0">
    <w:nsid w:val="49127340"/>
    <w:multiLevelType w:val="hybridMultilevel"/>
    <w:tmpl w:val="E3527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B843C4"/>
    <w:multiLevelType w:val="hybridMultilevel"/>
    <w:tmpl w:val="13003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893401">
    <w:abstractNumId w:val="0"/>
  </w:num>
  <w:num w:numId="2" w16cid:durableId="2033262423">
    <w:abstractNumId w:val="1"/>
  </w:num>
  <w:num w:numId="3" w16cid:durableId="430904551">
    <w:abstractNumId w:val="2"/>
  </w:num>
  <w:num w:numId="4" w16cid:durableId="2055426276">
    <w:abstractNumId w:val="3"/>
  </w:num>
  <w:num w:numId="5" w16cid:durableId="2090153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4A"/>
    <w:rsid w:val="00096C02"/>
    <w:rsid w:val="00133D61"/>
    <w:rsid w:val="0013699F"/>
    <w:rsid w:val="0019565C"/>
    <w:rsid w:val="002509FD"/>
    <w:rsid w:val="00262DBF"/>
    <w:rsid w:val="003E1315"/>
    <w:rsid w:val="004E4394"/>
    <w:rsid w:val="006855A8"/>
    <w:rsid w:val="006C174C"/>
    <w:rsid w:val="00740ABF"/>
    <w:rsid w:val="007F144A"/>
    <w:rsid w:val="008027AC"/>
    <w:rsid w:val="0080511D"/>
    <w:rsid w:val="00813F27"/>
    <w:rsid w:val="00844465"/>
    <w:rsid w:val="00881162"/>
    <w:rsid w:val="00907C7C"/>
    <w:rsid w:val="00A53F69"/>
    <w:rsid w:val="00AB4E80"/>
    <w:rsid w:val="00AE460D"/>
    <w:rsid w:val="00B42850"/>
    <w:rsid w:val="00C32117"/>
    <w:rsid w:val="00C55324"/>
    <w:rsid w:val="00CE0766"/>
    <w:rsid w:val="00D242CA"/>
    <w:rsid w:val="00D33B27"/>
    <w:rsid w:val="00EF4304"/>
    <w:rsid w:val="00F637D7"/>
    <w:rsid w:val="00F82670"/>
    <w:rsid w:val="00F921D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F089"/>
  <w15:chartTrackingRefBased/>
  <w15:docId w15:val="{EB05D097-F2C3-4E0A-9C40-250705F5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7C7C"/>
    <w:pPr>
      <w:jc w:val="both"/>
    </w:pPr>
    <w:rPr>
      <w:rFonts w:ascii="Times New Roman" w:hAnsi="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y">
    <w:name w:val="Przypisy"/>
    <w:qFormat/>
    <w:rsid w:val="00D242CA"/>
    <w:pPr>
      <w:spacing w:after="0"/>
      <w:jc w:val="both"/>
    </w:pPr>
    <w:rPr>
      <w:rFonts w:ascii="Times New Roman" w:eastAsia="Times New Roman" w:hAnsi="Times New Roman" w:cs="Times New Roman"/>
      <w:sz w:val="20"/>
      <w:szCs w:val="24"/>
      <w:lang w:eastAsia="pl-PL"/>
    </w:rPr>
  </w:style>
  <w:style w:type="paragraph" w:styleId="Akapitzlist">
    <w:name w:val="List Paragraph"/>
    <w:basedOn w:val="Normalny"/>
    <w:uiPriority w:val="34"/>
    <w:qFormat/>
    <w:rsid w:val="008027AC"/>
    <w:pPr>
      <w:ind w:left="720"/>
      <w:contextualSpacing/>
    </w:pPr>
  </w:style>
  <w:style w:type="paragraph" w:customStyle="1" w:styleId="title-bold">
    <w:name w:val="title-bold"/>
    <w:basedOn w:val="Normalny"/>
    <w:rsid w:val="00C55324"/>
    <w:pPr>
      <w:spacing w:before="100" w:beforeAutospacing="1" w:after="100" w:afterAutospacing="1" w:line="240" w:lineRule="auto"/>
      <w:jc w:val="left"/>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5826">
      <w:bodyDiv w:val="1"/>
      <w:marLeft w:val="0"/>
      <w:marRight w:val="0"/>
      <w:marTop w:val="0"/>
      <w:marBottom w:val="0"/>
      <w:divBdr>
        <w:top w:val="none" w:sz="0" w:space="0" w:color="auto"/>
        <w:left w:val="none" w:sz="0" w:space="0" w:color="auto"/>
        <w:bottom w:val="none" w:sz="0" w:space="0" w:color="auto"/>
        <w:right w:val="none" w:sz="0" w:space="0" w:color="auto"/>
      </w:divBdr>
    </w:div>
    <w:div w:id="143547676">
      <w:bodyDiv w:val="1"/>
      <w:marLeft w:val="0"/>
      <w:marRight w:val="0"/>
      <w:marTop w:val="0"/>
      <w:marBottom w:val="0"/>
      <w:divBdr>
        <w:top w:val="none" w:sz="0" w:space="0" w:color="auto"/>
        <w:left w:val="none" w:sz="0" w:space="0" w:color="auto"/>
        <w:bottom w:val="none" w:sz="0" w:space="0" w:color="auto"/>
        <w:right w:val="none" w:sz="0" w:space="0" w:color="auto"/>
      </w:divBdr>
    </w:div>
    <w:div w:id="365372735">
      <w:bodyDiv w:val="1"/>
      <w:marLeft w:val="0"/>
      <w:marRight w:val="0"/>
      <w:marTop w:val="0"/>
      <w:marBottom w:val="0"/>
      <w:divBdr>
        <w:top w:val="none" w:sz="0" w:space="0" w:color="auto"/>
        <w:left w:val="none" w:sz="0" w:space="0" w:color="auto"/>
        <w:bottom w:val="none" w:sz="0" w:space="0" w:color="auto"/>
        <w:right w:val="none" w:sz="0" w:space="0" w:color="auto"/>
      </w:divBdr>
    </w:div>
    <w:div w:id="437676642">
      <w:bodyDiv w:val="1"/>
      <w:marLeft w:val="0"/>
      <w:marRight w:val="0"/>
      <w:marTop w:val="0"/>
      <w:marBottom w:val="0"/>
      <w:divBdr>
        <w:top w:val="none" w:sz="0" w:space="0" w:color="auto"/>
        <w:left w:val="none" w:sz="0" w:space="0" w:color="auto"/>
        <w:bottom w:val="none" w:sz="0" w:space="0" w:color="auto"/>
        <w:right w:val="none" w:sz="0" w:space="0" w:color="auto"/>
      </w:divBdr>
    </w:div>
    <w:div w:id="447235652">
      <w:bodyDiv w:val="1"/>
      <w:marLeft w:val="0"/>
      <w:marRight w:val="0"/>
      <w:marTop w:val="0"/>
      <w:marBottom w:val="0"/>
      <w:divBdr>
        <w:top w:val="none" w:sz="0" w:space="0" w:color="auto"/>
        <w:left w:val="none" w:sz="0" w:space="0" w:color="auto"/>
        <w:bottom w:val="none" w:sz="0" w:space="0" w:color="auto"/>
        <w:right w:val="none" w:sz="0" w:space="0" w:color="auto"/>
      </w:divBdr>
      <w:divsChild>
        <w:div w:id="2010476202">
          <w:marLeft w:val="806"/>
          <w:marRight w:val="0"/>
          <w:marTop w:val="200"/>
          <w:marBottom w:val="0"/>
          <w:divBdr>
            <w:top w:val="none" w:sz="0" w:space="0" w:color="auto"/>
            <w:left w:val="none" w:sz="0" w:space="0" w:color="auto"/>
            <w:bottom w:val="none" w:sz="0" w:space="0" w:color="auto"/>
            <w:right w:val="none" w:sz="0" w:space="0" w:color="auto"/>
          </w:divBdr>
        </w:div>
        <w:div w:id="920140513">
          <w:marLeft w:val="806"/>
          <w:marRight w:val="0"/>
          <w:marTop w:val="200"/>
          <w:marBottom w:val="0"/>
          <w:divBdr>
            <w:top w:val="none" w:sz="0" w:space="0" w:color="auto"/>
            <w:left w:val="none" w:sz="0" w:space="0" w:color="auto"/>
            <w:bottom w:val="none" w:sz="0" w:space="0" w:color="auto"/>
            <w:right w:val="none" w:sz="0" w:space="0" w:color="auto"/>
          </w:divBdr>
        </w:div>
        <w:div w:id="1807355010">
          <w:marLeft w:val="806"/>
          <w:marRight w:val="0"/>
          <w:marTop w:val="200"/>
          <w:marBottom w:val="0"/>
          <w:divBdr>
            <w:top w:val="none" w:sz="0" w:space="0" w:color="auto"/>
            <w:left w:val="none" w:sz="0" w:space="0" w:color="auto"/>
            <w:bottom w:val="none" w:sz="0" w:space="0" w:color="auto"/>
            <w:right w:val="none" w:sz="0" w:space="0" w:color="auto"/>
          </w:divBdr>
        </w:div>
        <w:div w:id="2146116637">
          <w:marLeft w:val="806"/>
          <w:marRight w:val="0"/>
          <w:marTop w:val="200"/>
          <w:marBottom w:val="0"/>
          <w:divBdr>
            <w:top w:val="none" w:sz="0" w:space="0" w:color="auto"/>
            <w:left w:val="none" w:sz="0" w:space="0" w:color="auto"/>
            <w:bottom w:val="none" w:sz="0" w:space="0" w:color="auto"/>
            <w:right w:val="none" w:sz="0" w:space="0" w:color="auto"/>
          </w:divBdr>
        </w:div>
        <w:div w:id="919362552">
          <w:marLeft w:val="806"/>
          <w:marRight w:val="0"/>
          <w:marTop w:val="200"/>
          <w:marBottom w:val="0"/>
          <w:divBdr>
            <w:top w:val="none" w:sz="0" w:space="0" w:color="auto"/>
            <w:left w:val="none" w:sz="0" w:space="0" w:color="auto"/>
            <w:bottom w:val="none" w:sz="0" w:space="0" w:color="auto"/>
            <w:right w:val="none" w:sz="0" w:space="0" w:color="auto"/>
          </w:divBdr>
        </w:div>
        <w:div w:id="759913692">
          <w:marLeft w:val="806"/>
          <w:marRight w:val="0"/>
          <w:marTop w:val="200"/>
          <w:marBottom w:val="0"/>
          <w:divBdr>
            <w:top w:val="none" w:sz="0" w:space="0" w:color="auto"/>
            <w:left w:val="none" w:sz="0" w:space="0" w:color="auto"/>
            <w:bottom w:val="none" w:sz="0" w:space="0" w:color="auto"/>
            <w:right w:val="none" w:sz="0" w:space="0" w:color="auto"/>
          </w:divBdr>
        </w:div>
      </w:divsChild>
    </w:div>
    <w:div w:id="742340801">
      <w:bodyDiv w:val="1"/>
      <w:marLeft w:val="0"/>
      <w:marRight w:val="0"/>
      <w:marTop w:val="0"/>
      <w:marBottom w:val="0"/>
      <w:divBdr>
        <w:top w:val="none" w:sz="0" w:space="0" w:color="auto"/>
        <w:left w:val="none" w:sz="0" w:space="0" w:color="auto"/>
        <w:bottom w:val="none" w:sz="0" w:space="0" w:color="auto"/>
        <w:right w:val="none" w:sz="0" w:space="0" w:color="auto"/>
      </w:divBdr>
      <w:divsChild>
        <w:div w:id="330645551">
          <w:marLeft w:val="806"/>
          <w:marRight w:val="0"/>
          <w:marTop w:val="200"/>
          <w:marBottom w:val="0"/>
          <w:divBdr>
            <w:top w:val="none" w:sz="0" w:space="0" w:color="auto"/>
            <w:left w:val="none" w:sz="0" w:space="0" w:color="auto"/>
            <w:bottom w:val="none" w:sz="0" w:space="0" w:color="auto"/>
            <w:right w:val="none" w:sz="0" w:space="0" w:color="auto"/>
          </w:divBdr>
        </w:div>
        <w:div w:id="1197086613">
          <w:marLeft w:val="806"/>
          <w:marRight w:val="0"/>
          <w:marTop w:val="200"/>
          <w:marBottom w:val="0"/>
          <w:divBdr>
            <w:top w:val="none" w:sz="0" w:space="0" w:color="auto"/>
            <w:left w:val="none" w:sz="0" w:space="0" w:color="auto"/>
            <w:bottom w:val="none" w:sz="0" w:space="0" w:color="auto"/>
            <w:right w:val="none" w:sz="0" w:space="0" w:color="auto"/>
          </w:divBdr>
        </w:div>
        <w:div w:id="859515694">
          <w:marLeft w:val="806"/>
          <w:marRight w:val="0"/>
          <w:marTop w:val="200"/>
          <w:marBottom w:val="0"/>
          <w:divBdr>
            <w:top w:val="none" w:sz="0" w:space="0" w:color="auto"/>
            <w:left w:val="none" w:sz="0" w:space="0" w:color="auto"/>
            <w:bottom w:val="none" w:sz="0" w:space="0" w:color="auto"/>
            <w:right w:val="none" w:sz="0" w:space="0" w:color="auto"/>
          </w:divBdr>
        </w:div>
        <w:div w:id="13967622">
          <w:marLeft w:val="806"/>
          <w:marRight w:val="0"/>
          <w:marTop w:val="200"/>
          <w:marBottom w:val="0"/>
          <w:divBdr>
            <w:top w:val="none" w:sz="0" w:space="0" w:color="auto"/>
            <w:left w:val="none" w:sz="0" w:space="0" w:color="auto"/>
            <w:bottom w:val="none" w:sz="0" w:space="0" w:color="auto"/>
            <w:right w:val="none" w:sz="0" w:space="0" w:color="auto"/>
          </w:divBdr>
        </w:div>
        <w:div w:id="1070467140">
          <w:marLeft w:val="806"/>
          <w:marRight w:val="0"/>
          <w:marTop w:val="200"/>
          <w:marBottom w:val="0"/>
          <w:divBdr>
            <w:top w:val="none" w:sz="0" w:space="0" w:color="auto"/>
            <w:left w:val="none" w:sz="0" w:space="0" w:color="auto"/>
            <w:bottom w:val="none" w:sz="0" w:space="0" w:color="auto"/>
            <w:right w:val="none" w:sz="0" w:space="0" w:color="auto"/>
          </w:divBdr>
        </w:div>
      </w:divsChild>
    </w:div>
    <w:div w:id="876353444">
      <w:bodyDiv w:val="1"/>
      <w:marLeft w:val="0"/>
      <w:marRight w:val="0"/>
      <w:marTop w:val="0"/>
      <w:marBottom w:val="0"/>
      <w:divBdr>
        <w:top w:val="none" w:sz="0" w:space="0" w:color="auto"/>
        <w:left w:val="none" w:sz="0" w:space="0" w:color="auto"/>
        <w:bottom w:val="none" w:sz="0" w:space="0" w:color="auto"/>
        <w:right w:val="none" w:sz="0" w:space="0" w:color="auto"/>
      </w:divBdr>
    </w:div>
    <w:div w:id="1099182576">
      <w:bodyDiv w:val="1"/>
      <w:marLeft w:val="0"/>
      <w:marRight w:val="0"/>
      <w:marTop w:val="0"/>
      <w:marBottom w:val="0"/>
      <w:divBdr>
        <w:top w:val="none" w:sz="0" w:space="0" w:color="auto"/>
        <w:left w:val="none" w:sz="0" w:space="0" w:color="auto"/>
        <w:bottom w:val="none" w:sz="0" w:space="0" w:color="auto"/>
        <w:right w:val="none" w:sz="0" w:space="0" w:color="auto"/>
      </w:divBdr>
    </w:div>
    <w:div w:id="1178425014">
      <w:bodyDiv w:val="1"/>
      <w:marLeft w:val="0"/>
      <w:marRight w:val="0"/>
      <w:marTop w:val="0"/>
      <w:marBottom w:val="0"/>
      <w:divBdr>
        <w:top w:val="none" w:sz="0" w:space="0" w:color="auto"/>
        <w:left w:val="none" w:sz="0" w:space="0" w:color="auto"/>
        <w:bottom w:val="none" w:sz="0" w:space="0" w:color="auto"/>
        <w:right w:val="none" w:sz="0" w:space="0" w:color="auto"/>
      </w:divBdr>
    </w:div>
    <w:div w:id="1435859975">
      <w:bodyDiv w:val="1"/>
      <w:marLeft w:val="0"/>
      <w:marRight w:val="0"/>
      <w:marTop w:val="0"/>
      <w:marBottom w:val="0"/>
      <w:divBdr>
        <w:top w:val="none" w:sz="0" w:space="0" w:color="auto"/>
        <w:left w:val="none" w:sz="0" w:space="0" w:color="auto"/>
        <w:bottom w:val="none" w:sz="0" w:space="0" w:color="auto"/>
        <w:right w:val="none" w:sz="0" w:space="0" w:color="auto"/>
      </w:divBdr>
    </w:div>
    <w:div w:id="1532374221">
      <w:bodyDiv w:val="1"/>
      <w:marLeft w:val="0"/>
      <w:marRight w:val="0"/>
      <w:marTop w:val="0"/>
      <w:marBottom w:val="0"/>
      <w:divBdr>
        <w:top w:val="none" w:sz="0" w:space="0" w:color="auto"/>
        <w:left w:val="none" w:sz="0" w:space="0" w:color="auto"/>
        <w:bottom w:val="none" w:sz="0" w:space="0" w:color="auto"/>
        <w:right w:val="none" w:sz="0" w:space="0" w:color="auto"/>
      </w:divBdr>
    </w:div>
    <w:div w:id="1860200496">
      <w:bodyDiv w:val="1"/>
      <w:marLeft w:val="0"/>
      <w:marRight w:val="0"/>
      <w:marTop w:val="0"/>
      <w:marBottom w:val="0"/>
      <w:divBdr>
        <w:top w:val="none" w:sz="0" w:space="0" w:color="auto"/>
        <w:left w:val="none" w:sz="0" w:space="0" w:color="auto"/>
        <w:bottom w:val="none" w:sz="0" w:space="0" w:color="auto"/>
        <w:right w:val="none" w:sz="0" w:space="0" w:color="auto"/>
      </w:divBdr>
    </w:div>
    <w:div w:id="208294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1907</Words>
  <Characters>10872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Czerniak</dc:creator>
  <cp:keywords/>
  <dc:description/>
  <cp:lastModifiedBy>Dominika Czerniak</cp:lastModifiedBy>
  <cp:revision>3</cp:revision>
  <dcterms:created xsi:type="dcterms:W3CDTF">2025-02-26T13:34:00Z</dcterms:created>
  <dcterms:modified xsi:type="dcterms:W3CDTF">2025-02-28T11:40:00Z</dcterms:modified>
</cp:coreProperties>
</file>