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A6" w:rsidRDefault="00DC5CA6" w:rsidP="00B22F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CA6">
        <w:rPr>
          <w:rFonts w:ascii="Times New Roman" w:hAnsi="Times New Roman" w:cs="Times New Roman"/>
          <w:b/>
          <w:sz w:val="24"/>
          <w:szCs w:val="24"/>
        </w:rPr>
        <w:t>Ekonomia dla Prawników – studia zaoczne – zagadnienia na kol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C5CA6">
        <w:rPr>
          <w:rFonts w:ascii="Times New Roman" w:hAnsi="Times New Roman" w:cs="Times New Roman"/>
          <w:b/>
          <w:sz w:val="24"/>
          <w:szCs w:val="24"/>
        </w:rPr>
        <w:t>kwium</w:t>
      </w:r>
    </w:p>
    <w:p w:rsidR="00B22F30" w:rsidRDefault="00B22F30" w:rsidP="00B22F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CA6" w:rsidRDefault="00B71992" w:rsidP="00B22F30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pojęcia i przedmiot ekonomii</w:t>
      </w:r>
    </w:p>
    <w:p w:rsidR="00B71992" w:rsidRDefault="00B71992" w:rsidP="00B22F30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Podstawy teorii zachowań konsumentów</w:t>
      </w:r>
    </w:p>
    <w:p w:rsidR="00795F66" w:rsidRDefault="00795F66" w:rsidP="00B22F30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Funkcje</w:t>
      </w:r>
      <w:r w:rsidR="00001225">
        <w:rPr>
          <w:rFonts w:ascii="Times New Roman" w:hAnsi="Times New Roman" w:cs="Times New Roman"/>
          <w:sz w:val="24"/>
          <w:szCs w:val="24"/>
        </w:rPr>
        <w:t xml:space="preserve"> i cel działalności</w:t>
      </w:r>
      <w:r>
        <w:rPr>
          <w:rFonts w:ascii="Times New Roman" w:hAnsi="Times New Roman" w:cs="Times New Roman"/>
          <w:sz w:val="24"/>
          <w:szCs w:val="24"/>
        </w:rPr>
        <w:t xml:space="preserve"> gospodarstwa domowego</w:t>
      </w:r>
    </w:p>
    <w:p w:rsidR="00001225" w:rsidRDefault="00001225" w:rsidP="00B22F30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Użyteczność całkowita, użyteczność krańcowa</w:t>
      </w:r>
    </w:p>
    <w:p w:rsidR="00B71992" w:rsidRDefault="00B71992" w:rsidP="00B22F30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Podstawy teorii przedsiębiorstwa</w:t>
      </w:r>
      <w:r w:rsidR="003D65AC">
        <w:rPr>
          <w:rFonts w:ascii="Times New Roman" w:hAnsi="Times New Roman" w:cs="Times New Roman"/>
          <w:sz w:val="24"/>
          <w:szCs w:val="24"/>
        </w:rPr>
        <w:t xml:space="preserve"> (w tym bilans i rachunek zysków i strat)</w:t>
      </w:r>
    </w:p>
    <w:p w:rsidR="00B71992" w:rsidRDefault="00B22F30" w:rsidP="00B22F30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Produkt i dochód narodowy</w:t>
      </w:r>
      <w:r w:rsidR="009C3410">
        <w:rPr>
          <w:rFonts w:ascii="Times New Roman" w:hAnsi="Times New Roman" w:cs="Times New Roman"/>
          <w:sz w:val="24"/>
          <w:szCs w:val="24"/>
        </w:rPr>
        <w:t xml:space="preserve"> (PKB, PNB PNN)</w:t>
      </w:r>
    </w:p>
    <w:p w:rsidR="00B22F30" w:rsidRDefault="00B22F30" w:rsidP="00B22F30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Rynek – zasady funkcjonowania – podaż, popyt, równowaga rynkowa</w:t>
      </w:r>
    </w:p>
    <w:p w:rsidR="00391DB1" w:rsidRDefault="00391DB1" w:rsidP="00B22F30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Elastyczność popytu względem ceny</w:t>
      </w:r>
    </w:p>
    <w:p w:rsidR="00391DB1" w:rsidRPr="00B71992" w:rsidRDefault="00391DB1" w:rsidP="00B22F30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Elastyczność podaży względem ceny</w:t>
      </w:r>
    </w:p>
    <w:sectPr w:rsidR="00391DB1" w:rsidRPr="00B71992" w:rsidSect="00693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611"/>
    <w:multiLevelType w:val="hybridMultilevel"/>
    <w:tmpl w:val="2B7A2F16"/>
    <w:lvl w:ilvl="0" w:tplc="9CB2F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C5CA6"/>
    <w:rsid w:val="00001225"/>
    <w:rsid w:val="00391DB1"/>
    <w:rsid w:val="003D65AC"/>
    <w:rsid w:val="00693DF4"/>
    <w:rsid w:val="00795F66"/>
    <w:rsid w:val="009C3410"/>
    <w:rsid w:val="00B22F30"/>
    <w:rsid w:val="00B71992"/>
    <w:rsid w:val="00DC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2019-12-29T20:08:00Z</dcterms:created>
  <dcterms:modified xsi:type="dcterms:W3CDTF">2019-12-29T20:25:00Z</dcterms:modified>
</cp:coreProperties>
</file>