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8EDD" w14:textId="77777777" w:rsidR="006F75EC" w:rsidRPr="002A518E" w:rsidRDefault="005023DF" w:rsidP="00424971">
      <w:pPr>
        <w:spacing w:after="0"/>
        <w:jc w:val="center"/>
        <w:rPr>
          <w:b/>
        </w:rPr>
      </w:pPr>
      <w:r w:rsidRPr="002A518E">
        <w:rPr>
          <w:b/>
        </w:rPr>
        <w:t>HARMONOGRAM ZAJĘĆ</w:t>
      </w:r>
      <w:r w:rsidR="00264EA5">
        <w:rPr>
          <w:b/>
        </w:rPr>
        <w:t xml:space="preserve"> ZSP</w:t>
      </w:r>
      <w:r w:rsidRPr="002A518E">
        <w:rPr>
          <w:b/>
        </w:rPr>
        <w:t xml:space="preserve"> – semestr letni 2019/20 r.</w:t>
      </w:r>
    </w:p>
    <w:p w14:paraId="65F8A2F4" w14:textId="77777777" w:rsidR="005023DF" w:rsidRDefault="005023DF"/>
    <w:p w14:paraId="0E904F59" w14:textId="77777777" w:rsidR="005023DF" w:rsidRDefault="005023DF">
      <w:pPr>
        <w:pBdr>
          <w:bottom w:val="single" w:sz="6" w:space="1" w:color="auto"/>
        </w:pBdr>
        <w:rPr>
          <w:b/>
        </w:rPr>
      </w:pPr>
      <w:r w:rsidRPr="002A518E">
        <w:rPr>
          <w:b/>
        </w:rPr>
        <w:t>Grupa 4</w:t>
      </w:r>
    </w:p>
    <w:p w14:paraId="5140C19A" w14:textId="0F4A52B3" w:rsidR="00A156B7" w:rsidRPr="005C64A0" w:rsidRDefault="005C64A0">
      <w:r>
        <w:t>26</w:t>
      </w:r>
      <w:r w:rsidR="005023DF">
        <w:t xml:space="preserve"> </w:t>
      </w:r>
      <w:r>
        <w:t>kwietnia</w:t>
      </w:r>
      <w:r w:rsidR="005023DF">
        <w:t xml:space="preserve"> 2020 r. </w:t>
      </w:r>
      <w:r w:rsidR="00A156B7">
        <w:sym w:font="Wingdings" w:char="F0E0"/>
      </w:r>
      <w:r w:rsidR="00A156B7">
        <w:tab/>
      </w:r>
      <w:r w:rsidR="005023DF" w:rsidRPr="005C64A0">
        <w:rPr>
          <w:u w:val="single"/>
        </w:rPr>
        <w:t>Wina i okoliczności ją wyłączające</w:t>
      </w:r>
      <w:r w:rsidR="00557C54" w:rsidRPr="005C64A0">
        <w:t>.</w:t>
      </w:r>
    </w:p>
    <w:p w14:paraId="3C501A98" w14:textId="59F03467" w:rsidR="005023DF" w:rsidRPr="005C64A0" w:rsidRDefault="005C64A0" w:rsidP="007D516E">
      <w:pPr>
        <w:spacing w:after="0"/>
        <w:rPr>
          <w:u w:val="single"/>
        </w:rPr>
      </w:pPr>
      <w:r w:rsidRPr="005C64A0">
        <w:t>9 maja</w:t>
      </w:r>
      <w:r w:rsidR="005023DF" w:rsidRPr="005C64A0">
        <w:t xml:space="preserve"> 2020 r. </w:t>
      </w:r>
      <w:r w:rsidR="00A156B7" w:rsidRPr="005C64A0">
        <w:sym w:font="Wingdings" w:char="F0E0"/>
      </w:r>
      <w:r w:rsidR="00A156B7" w:rsidRPr="005C64A0">
        <w:tab/>
      </w:r>
      <w:r w:rsidR="005023DF" w:rsidRPr="005C64A0">
        <w:rPr>
          <w:u w:val="single"/>
        </w:rPr>
        <w:t>Karalność i jej wyłączenie. Karygodność.</w:t>
      </w:r>
      <w:r w:rsidR="00AE515A">
        <w:rPr>
          <w:u w:val="single"/>
        </w:rPr>
        <w:t xml:space="preserve"> Pojęcie czynu.</w:t>
      </w:r>
    </w:p>
    <w:p w14:paraId="25A3B09F" w14:textId="6EFA1F9A" w:rsidR="005023DF" w:rsidRPr="005C64A0" w:rsidRDefault="005C64A0" w:rsidP="007D516E">
      <w:pPr>
        <w:spacing w:after="0"/>
        <w:rPr>
          <w:u w:val="single"/>
        </w:rPr>
      </w:pPr>
      <w:r w:rsidRPr="005C64A0">
        <w:tab/>
      </w:r>
      <w:r w:rsidRPr="005C64A0">
        <w:tab/>
      </w:r>
      <w:r w:rsidR="00A156B7" w:rsidRPr="005C64A0">
        <w:tab/>
      </w:r>
      <w:r w:rsidR="005023DF" w:rsidRPr="005C64A0">
        <w:rPr>
          <w:u w:val="single"/>
        </w:rPr>
        <w:t>Zbieg przepisów. Czyn ciągły. Ciąg przestępstw. Kara łączna.</w:t>
      </w:r>
    </w:p>
    <w:p w14:paraId="13BB9450" w14:textId="3FDA2DF4" w:rsidR="00C9701F" w:rsidRPr="005C64A0" w:rsidRDefault="00C9701F">
      <w:pPr>
        <w:rPr>
          <w:i/>
        </w:rPr>
      </w:pPr>
      <w:r w:rsidRPr="005C64A0">
        <w:tab/>
      </w:r>
      <w:r w:rsidRPr="005C64A0">
        <w:tab/>
      </w:r>
      <w:r w:rsidRPr="005C64A0">
        <w:tab/>
      </w:r>
      <w:r w:rsidR="005C64A0" w:rsidRPr="005C64A0">
        <w:t>(</w:t>
      </w:r>
      <w:r w:rsidR="005C64A0" w:rsidRPr="005C64A0">
        <w:rPr>
          <w:b/>
          <w:bCs/>
        </w:rPr>
        <w:t>zajęcia podwójne</w:t>
      </w:r>
      <w:r w:rsidR="005C64A0" w:rsidRPr="005C64A0">
        <w:t>)</w:t>
      </w:r>
    </w:p>
    <w:p w14:paraId="1E357EA8" w14:textId="10D0C041" w:rsidR="005023DF" w:rsidRPr="005C64A0" w:rsidRDefault="005C64A0" w:rsidP="007D516E">
      <w:pPr>
        <w:spacing w:after="0"/>
      </w:pPr>
      <w:r w:rsidRPr="005C64A0">
        <w:t>17</w:t>
      </w:r>
      <w:r w:rsidR="00A156B7" w:rsidRPr="005C64A0">
        <w:t xml:space="preserve"> maja 2020 r.</w:t>
      </w:r>
      <w:r w:rsidR="002A518E" w:rsidRPr="005C64A0">
        <w:t xml:space="preserve"> </w:t>
      </w:r>
      <w:r w:rsidR="00A156B7" w:rsidRPr="005C64A0">
        <w:sym w:font="Wingdings" w:char="F0E0"/>
      </w:r>
      <w:r w:rsidR="00A156B7" w:rsidRPr="005C64A0">
        <w:tab/>
      </w:r>
      <w:r w:rsidR="00A156B7" w:rsidRPr="005C64A0">
        <w:rPr>
          <w:u w:val="single"/>
        </w:rPr>
        <w:t>Najważni</w:t>
      </w:r>
      <w:r w:rsidR="002A518E" w:rsidRPr="005C64A0">
        <w:rPr>
          <w:u w:val="single"/>
        </w:rPr>
        <w:t>ejsze zagadnienia nauki o karze</w:t>
      </w:r>
      <w:r w:rsidR="002A518E" w:rsidRPr="005C64A0">
        <w:t xml:space="preserve"> (</w:t>
      </w:r>
      <w:r w:rsidR="002A518E" w:rsidRPr="005C64A0">
        <w:rPr>
          <w:b/>
          <w:bCs/>
        </w:rPr>
        <w:t>zajęcia podwójne</w:t>
      </w:r>
      <w:r w:rsidR="002A518E" w:rsidRPr="005C64A0">
        <w:t>)</w:t>
      </w:r>
    </w:p>
    <w:p w14:paraId="0548B259" w14:textId="77777777" w:rsidR="00352235" w:rsidRPr="005C64A0" w:rsidRDefault="00352235" w:rsidP="00424971">
      <w:pPr>
        <w:pStyle w:val="Akapitzlist"/>
        <w:numPr>
          <w:ilvl w:val="0"/>
          <w:numId w:val="1"/>
        </w:numPr>
        <w:spacing w:after="0"/>
        <w:ind w:left="2835"/>
      </w:pPr>
      <w:r w:rsidRPr="005C64A0">
        <w:t>pojęcie i  cele kary kryminalnej</w:t>
      </w:r>
    </w:p>
    <w:p w14:paraId="50EEC677" w14:textId="77777777" w:rsidR="00352235" w:rsidRPr="005C64A0" w:rsidRDefault="00352235" w:rsidP="00424971">
      <w:pPr>
        <w:pStyle w:val="Akapitzlist"/>
        <w:numPr>
          <w:ilvl w:val="0"/>
          <w:numId w:val="1"/>
        </w:numPr>
        <w:spacing w:after="0"/>
        <w:ind w:left="2835"/>
      </w:pPr>
      <w:r w:rsidRPr="005C64A0">
        <w:t>dostępne środki reakcji karnej (kary, środki karne, środki kompensacyjne, przepadek, środki zabezpieczające)</w:t>
      </w:r>
    </w:p>
    <w:p w14:paraId="73409DAB" w14:textId="77777777" w:rsidR="00352235" w:rsidRPr="005C64A0" w:rsidRDefault="008D0B31" w:rsidP="00424971">
      <w:pPr>
        <w:pStyle w:val="Akapitzlist"/>
        <w:numPr>
          <w:ilvl w:val="0"/>
          <w:numId w:val="1"/>
        </w:numPr>
        <w:spacing w:after="0"/>
        <w:ind w:left="2835"/>
      </w:pPr>
      <w:r w:rsidRPr="005C64A0">
        <w:t>wymiar kary (zasady i dyrektywy)</w:t>
      </w:r>
    </w:p>
    <w:p w14:paraId="10ED8C2E" w14:textId="77777777" w:rsidR="004B717F" w:rsidRPr="005C64A0" w:rsidRDefault="004B717F" w:rsidP="00424971">
      <w:pPr>
        <w:pStyle w:val="Akapitzlist"/>
        <w:numPr>
          <w:ilvl w:val="0"/>
          <w:numId w:val="1"/>
        </w:numPr>
        <w:spacing w:after="0"/>
        <w:ind w:left="2835"/>
      </w:pPr>
      <w:r w:rsidRPr="005C64A0">
        <w:t>nadzwyczajny wymiar kary</w:t>
      </w:r>
    </w:p>
    <w:p w14:paraId="04277949" w14:textId="77777777" w:rsidR="008D0B31" w:rsidRPr="005C64A0" w:rsidRDefault="008D0B31" w:rsidP="00424971">
      <w:pPr>
        <w:pStyle w:val="Akapitzlist"/>
        <w:numPr>
          <w:ilvl w:val="0"/>
          <w:numId w:val="1"/>
        </w:numPr>
        <w:spacing w:after="0"/>
        <w:ind w:left="2835"/>
      </w:pPr>
      <w:r w:rsidRPr="005C64A0">
        <w:t>środki zwią</w:t>
      </w:r>
      <w:r w:rsidR="00424971" w:rsidRPr="005C64A0">
        <w:t>zane z poddaniem sprawcy próbie</w:t>
      </w:r>
    </w:p>
    <w:p w14:paraId="79649E50" w14:textId="77777777" w:rsidR="008D0B31" w:rsidRPr="005C64A0" w:rsidRDefault="004B717F" w:rsidP="00424971">
      <w:pPr>
        <w:pStyle w:val="Akapitzlist"/>
        <w:numPr>
          <w:ilvl w:val="0"/>
          <w:numId w:val="1"/>
        </w:numPr>
        <w:spacing w:after="0"/>
        <w:ind w:left="2835"/>
      </w:pPr>
      <w:r w:rsidRPr="005C64A0">
        <w:t>ustanie karalności, zatarcie skazania</w:t>
      </w:r>
    </w:p>
    <w:p w14:paraId="75421580" w14:textId="77777777" w:rsidR="005C64A0" w:rsidRDefault="005C64A0" w:rsidP="005C64A0">
      <w:pPr>
        <w:spacing w:after="0" w:line="240" w:lineRule="auto"/>
        <w:rPr>
          <w:b/>
          <w:i/>
        </w:rPr>
      </w:pPr>
    </w:p>
    <w:p w14:paraId="218D4E67" w14:textId="0BEF454B" w:rsidR="00A156B7" w:rsidRDefault="002A518E">
      <w:r>
        <w:t xml:space="preserve">30 maja 2020 r. </w:t>
      </w:r>
      <w:r>
        <w:sym w:font="Wingdings" w:char="F0E0"/>
      </w:r>
      <w:r>
        <w:tab/>
      </w:r>
      <w:r w:rsidRPr="005C64A0">
        <w:rPr>
          <w:u w:val="single"/>
        </w:rPr>
        <w:t>Kolokwium</w:t>
      </w:r>
    </w:p>
    <w:p w14:paraId="45058ED9" w14:textId="77777777" w:rsidR="002A518E" w:rsidRDefault="002C3092" w:rsidP="002C3092">
      <w:pPr>
        <w:ind w:left="1416" w:firstLine="708"/>
      </w:pPr>
      <w:r>
        <w:t>P</w:t>
      </w:r>
      <w:r w:rsidR="002A518E">
        <w:t>oprawa kolokwium ind</w:t>
      </w:r>
      <w:r>
        <w:t>ywidualnie do 19 czerwca 2020</w:t>
      </w:r>
      <w:r w:rsidR="007472C4">
        <w:t>!</w:t>
      </w:r>
      <w:r w:rsidR="002A518E">
        <w:t>!</w:t>
      </w:r>
    </w:p>
    <w:p w14:paraId="0145F4FA" w14:textId="77777777" w:rsidR="00424971" w:rsidRDefault="00424971">
      <w:pPr>
        <w:rPr>
          <w:b/>
        </w:rPr>
      </w:pPr>
    </w:p>
    <w:p w14:paraId="73D3BBA3" w14:textId="77777777" w:rsidR="002A518E" w:rsidRDefault="002A518E">
      <w:pPr>
        <w:pBdr>
          <w:bottom w:val="single" w:sz="6" w:space="1" w:color="auto"/>
        </w:pBdr>
        <w:rPr>
          <w:b/>
        </w:rPr>
      </w:pPr>
      <w:r w:rsidRPr="002A518E">
        <w:rPr>
          <w:b/>
        </w:rPr>
        <w:t>Grupa 5</w:t>
      </w:r>
    </w:p>
    <w:p w14:paraId="1CD24B7D" w14:textId="0ACD20D4" w:rsidR="002A518E" w:rsidRDefault="005C64A0" w:rsidP="002A518E">
      <w:r>
        <w:t>29</w:t>
      </w:r>
      <w:r w:rsidR="002A518E">
        <w:t xml:space="preserve"> marca 2020 r. </w:t>
      </w:r>
      <w:r w:rsidR="002A518E">
        <w:sym w:font="Wingdings" w:char="F0E0"/>
      </w:r>
      <w:r w:rsidR="002A518E">
        <w:tab/>
      </w:r>
      <w:r w:rsidR="002A518E" w:rsidRPr="005C64A0">
        <w:rPr>
          <w:u w:val="single"/>
        </w:rPr>
        <w:t>Wina i okoliczności ją wyłączające</w:t>
      </w:r>
      <w:r w:rsidR="00557C54">
        <w:t>.</w:t>
      </w:r>
    </w:p>
    <w:p w14:paraId="4AA6AF62" w14:textId="17474268" w:rsidR="002A518E" w:rsidRDefault="005C64A0" w:rsidP="007D516E">
      <w:pPr>
        <w:spacing w:after="0"/>
      </w:pPr>
      <w:r>
        <w:t>18</w:t>
      </w:r>
      <w:r w:rsidR="007D516E">
        <w:t xml:space="preserve"> </w:t>
      </w:r>
      <w:r>
        <w:t>kwietnia</w:t>
      </w:r>
      <w:r w:rsidR="002A518E">
        <w:t xml:space="preserve"> 2020 r. </w:t>
      </w:r>
      <w:r w:rsidR="002A518E">
        <w:sym w:font="Wingdings" w:char="F0E0"/>
      </w:r>
      <w:r w:rsidR="002A518E">
        <w:tab/>
      </w:r>
      <w:r w:rsidR="002A518E" w:rsidRPr="005C64A0">
        <w:rPr>
          <w:u w:val="single"/>
        </w:rPr>
        <w:t>Karalność i jej wyłączenie. Karygodnoś</w:t>
      </w:r>
      <w:r w:rsidR="002A518E" w:rsidRPr="00AE515A">
        <w:rPr>
          <w:u w:val="single"/>
        </w:rPr>
        <w:t>ć.</w:t>
      </w:r>
      <w:r w:rsidR="00AE515A" w:rsidRPr="00AE515A">
        <w:rPr>
          <w:u w:val="single"/>
        </w:rPr>
        <w:t xml:space="preserve"> Pojęcie czynu.</w:t>
      </w:r>
    </w:p>
    <w:p w14:paraId="51C40A99" w14:textId="77777777" w:rsidR="005C64A0" w:rsidRDefault="005C64A0" w:rsidP="007D516E">
      <w:pPr>
        <w:spacing w:after="0"/>
      </w:pPr>
    </w:p>
    <w:p w14:paraId="49F0F0EB" w14:textId="3BDE1478" w:rsidR="002A518E" w:rsidRDefault="002A518E" w:rsidP="007D516E">
      <w:pPr>
        <w:spacing w:after="0"/>
      </w:pPr>
      <w:r>
        <w:t>2</w:t>
      </w:r>
      <w:r w:rsidR="007D516E">
        <w:t>5</w:t>
      </w:r>
      <w:r>
        <w:t xml:space="preserve"> kwietnia 2020 r. </w:t>
      </w:r>
      <w:r>
        <w:sym w:font="Wingdings" w:char="F0E0"/>
      </w:r>
      <w:r>
        <w:tab/>
      </w:r>
      <w:r w:rsidRPr="005C64A0">
        <w:rPr>
          <w:u w:val="single"/>
        </w:rPr>
        <w:t>Zbieg przepisów. Czyn ciągły. Ciąg przestępstw. Kara łączna</w:t>
      </w:r>
      <w:r>
        <w:t>.</w:t>
      </w:r>
    </w:p>
    <w:p w14:paraId="29EE91AD" w14:textId="77777777" w:rsidR="005C64A0" w:rsidRDefault="005C64A0" w:rsidP="007D516E">
      <w:pPr>
        <w:spacing w:after="0"/>
      </w:pPr>
    </w:p>
    <w:p w14:paraId="1CD24D46" w14:textId="68D7629A" w:rsidR="002A518E" w:rsidRDefault="007D516E" w:rsidP="007D516E">
      <w:pPr>
        <w:spacing w:after="0"/>
      </w:pPr>
      <w:r>
        <w:t>23</w:t>
      </w:r>
      <w:r w:rsidR="002A518E">
        <w:t xml:space="preserve"> maja 2020 r. </w:t>
      </w:r>
      <w:r w:rsidR="002A518E">
        <w:sym w:font="Wingdings" w:char="F0E0"/>
      </w:r>
      <w:r w:rsidR="002A518E">
        <w:tab/>
      </w:r>
      <w:r w:rsidR="002A518E" w:rsidRPr="005C64A0">
        <w:rPr>
          <w:u w:val="single"/>
        </w:rPr>
        <w:t>Najważniejsze zagadnienia nauki o karze</w:t>
      </w:r>
      <w:r w:rsidR="002A518E">
        <w:t xml:space="preserve"> (</w:t>
      </w:r>
      <w:r w:rsidR="002A518E" w:rsidRPr="005C64A0">
        <w:rPr>
          <w:b/>
          <w:bCs/>
        </w:rPr>
        <w:t>zajęcia podwójne</w:t>
      </w:r>
      <w:r w:rsidR="002A518E">
        <w:t>)</w:t>
      </w:r>
    </w:p>
    <w:p w14:paraId="4AEB482D" w14:textId="77777777" w:rsidR="00424971" w:rsidRDefault="00424971" w:rsidP="00424971">
      <w:pPr>
        <w:pStyle w:val="Akapitzlist"/>
        <w:numPr>
          <w:ilvl w:val="0"/>
          <w:numId w:val="1"/>
        </w:numPr>
        <w:spacing w:after="0"/>
        <w:ind w:left="2835"/>
      </w:pPr>
      <w:r>
        <w:t>pojęcie i  cele kary kryminalnej</w:t>
      </w:r>
    </w:p>
    <w:p w14:paraId="3F3CC6B5" w14:textId="77777777" w:rsidR="00424971" w:rsidRDefault="00424971" w:rsidP="00424971">
      <w:pPr>
        <w:pStyle w:val="Akapitzlist"/>
        <w:numPr>
          <w:ilvl w:val="0"/>
          <w:numId w:val="1"/>
        </w:numPr>
        <w:spacing w:after="0"/>
        <w:ind w:left="2835"/>
      </w:pPr>
      <w:r>
        <w:t>dostępne środki reakcji karnej (kary, środki karne, środki kompensacyjne, przepadek, środki zabezpieczające)</w:t>
      </w:r>
    </w:p>
    <w:p w14:paraId="199FD7DC" w14:textId="77777777" w:rsidR="00424971" w:rsidRDefault="00424971" w:rsidP="00424971">
      <w:pPr>
        <w:pStyle w:val="Akapitzlist"/>
        <w:numPr>
          <w:ilvl w:val="0"/>
          <w:numId w:val="1"/>
        </w:numPr>
        <w:spacing w:after="0"/>
        <w:ind w:left="2835"/>
      </w:pPr>
      <w:r>
        <w:t>wymiar kary (zasady i dyrektywy)</w:t>
      </w:r>
    </w:p>
    <w:p w14:paraId="2428DF0D" w14:textId="77777777" w:rsidR="00424971" w:rsidRDefault="00424971" w:rsidP="00424971">
      <w:pPr>
        <w:pStyle w:val="Akapitzlist"/>
        <w:numPr>
          <w:ilvl w:val="0"/>
          <w:numId w:val="1"/>
        </w:numPr>
        <w:spacing w:after="0"/>
        <w:ind w:left="2835"/>
      </w:pPr>
      <w:r>
        <w:t>nadzwyczajny wymiar kary</w:t>
      </w:r>
    </w:p>
    <w:p w14:paraId="4F01BE2D" w14:textId="77777777" w:rsidR="00424971" w:rsidRDefault="00424971" w:rsidP="00424971">
      <w:pPr>
        <w:pStyle w:val="Akapitzlist"/>
        <w:numPr>
          <w:ilvl w:val="0"/>
          <w:numId w:val="1"/>
        </w:numPr>
        <w:spacing w:after="0"/>
        <w:ind w:left="2835"/>
      </w:pPr>
      <w:r>
        <w:t>środki związane z poddaniem sprawcy próbie</w:t>
      </w:r>
    </w:p>
    <w:p w14:paraId="10E9B6FE" w14:textId="77777777" w:rsidR="00424971" w:rsidRDefault="00424971" w:rsidP="00424971">
      <w:pPr>
        <w:pStyle w:val="Akapitzlist"/>
        <w:numPr>
          <w:ilvl w:val="0"/>
          <w:numId w:val="1"/>
        </w:numPr>
        <w:spacing w:after="0"/>
        <w:ind w:left="2835"/>
      </w:pPr>
      <w:r>
        <w:t>ustanie karalności, zatarcie skazania</w:t>
      </w:r>
    </w:p>
    <w:p w14:paraId="711DDE4D" w14:textId="77777777" w:rsidR="00424971" w:rsidRDefault="00424971" w:rsidP="007D516E">
      <w:pPr>
        <w:spacing w:after="0"/>
      </w:pPr>
    </w:p>
    <w:p w14:paraId="138E85A8" w14:textId="77777777" w:rsidR="002A518E" w:rsidRDefault="002A518E" w:rsidP="002A518E">
      <w:r>
        <w:t xml:space="preserve">30 maja 2020 r. </w:t>
      </w:r>
      <w:r>
        <w:sym w:font="Wingdings" w:char="F0E0"/>
      </w:r>
      <w:r>
        <w:tab/>
      </w:r>
      <w:r w:rsidRPr="005C64A0">
        <w:rPr>
          <w:u w:val="single"/>
        </w:rPr>
        <w:t>Kolokwium</w:t>
      </w:r>
    </w:p>
    <w:p w14:paraId="5DAA3B05" w14:textId="77777777" w:rsidR="002A518E" w:rsidRDefault="007472C4" w:rsidP="007472C4">
      <w:pPr>
        <w:ind w:left="1416" w:firstLine="708"/>
      </w:pPr>
      <w:r>
        <w:t>P</w:t>
      </w:r>
      <w:r w:rsidR="002A518E">
        <w:t>oprawa kolokwium indy</w:t>
      </w:r>
      <w:r>
        <w:t>widualnie do 19 czerwca 2020 r!!</w:t>
      </w:r>
    </w:p>
    <w:p w14:paraId="66A72979" w14:textId="77777777" w:rsidR="002A518E" w:rsidRDefault="002A518E"/>
    <w:sectPr w:rsidR="002A518E" w:rsidSect="00424971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6517F"/>
    <w:multiLevelType w:val="hybridMultilevel"/>
    <w:tmpl w:val="6F907574"/>
    <w:lvl w:ilvl="0" w:tplc="35BCD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3DF"/>
    <w:rsid w:val="000E2E85"/>
    <w:rsid w:val="001020AC"/>
    <w:rsid w:val="00120E47"/>
    <w:rsid w:val="00152B48"/>
    <w:rsid w:val="00163E63"/>
    <w:rsid w:val="001D6121"/>
    <w:rsid w:val="00260997"/>
    <w:rsid w:val="00264EA5"/>
    <w:rsid w:val="00286A84"/>
    <w:rsid w:val="00287FC2"/>
    <w:rsid w:val="002A518E"/>
    <w:rsid w:val="002C3092"/>
    <w:rsid w:val="002D28CB"/>
    <w:rsid w:val="00352235"/>
    <w:rsid w:val="00396130"/>
    <w:rsid w:val="003D3C52"/>
    <w:rsid w:val="00424971"/>
    <w:rsid w:val="004B717F"/>
    <w:rsid w:val="005023DF"/>
    <w:rsid w:val="00524F3D"/>
    <w:rsid w:val="00557C54"/>
    <w:rsid w:val="0056386C"/>
    <w:rsid w:val="005679B4"/>
    <w:rsid w:val="005B42C3"/>
    <w:rsid w:val="005C64A0"/>
    <w:rsid w:val="006140E8"/>
    <w:rsid w:val="006B0FF4"/>
    <w:rsid w:val="006F75EC"/>
    <w:rsid w:val="007472C4"/>
    <w:rsid w:val="007D516E"/>
    <w:rsid w:val="008D0B31"/>
    <w:rsid w:val="009355B0"/>
    <w:rsid w:val="00946A4D"/>
    <w:rsid w:val="0097110A"/>
    <w:rsid w:val="00A156B7"/>
    <w:rsid w:val="00A74E42"/>
    <w:rsid w:val="00AE515A"/>
    <w:rsid w:val="00B12D15"/>
    <w:rsid w:val="00B92C75"/>
    <w:rsid w:val="00BB60FA"/>
    <w:rsid w:val="00C9701F"/>
    <w:rsid w:val="00CF1655"/>
    <w:rsid w:val="00D44480"/>
    <w:rsid w:val="00D96C04"/>
    <w:rsid w:val="00DF26D2"/>
    <w:rsid w:val="00E82CCD"/>
    <w:rsid w:val="00EA2B3A"/>
    <w:rsid w:val="00ED165A"/>
    <w:rsid w:val="00F02370"/>
    <w:rsid w:val="00F74EDC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8CE4"/>
  <w15:docId w15:val="{C529E2E0-3272-4999-B97A-DF8665E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NR12">
    <w:name w:val="TNR 12"/>
    <w:basedOn w:val="Normalny"/>
    <w:link w:val="TNR12Znak"/>
    <w:qFormat/>
    <w:rsid w:val="00B92C75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Znak">
    <w:name w:val="TNR 12 Znak"/>
    <w:basedOn w:val="Domylnaczcionkaakapitu"/>
    <w:link w:val="TNR12"/>
    <w:rsid w:val="00B92C75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next w:val="Normalny"/>
    <w:uiPriority w:val="1"/>
    <w:qFormat/>
    <w:rsid w:val="009355B0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customStyle="1" w:styleId="PISMO">
    <w:name w:val="PISMO"/>
    <w:basedOn w:val="Normalny"/>
    <w:link w:val="PISMOZnak"/>
    <w:qFormat/>
    <w:rsid w:val="006140E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SMOZnak">
    <w:name w:val="PISMO Znak"/>
    <w:basedOn w:val="Domylnaczcionkaakapitu"/>
    <w:link w:val="PISMO"/>
    <w:rsid w:val="006140E8"/>
    <w:rPr>
      <w:rFonts w:ascii="Times New Roman" w:hAnsi="Times New Roman" w:cs="Times New Roman"/>
      <w:sz w:val="24"/>
      <w:szCs w:val="24"/>
    </w:rPr>
  </w:style>
  <w:style w:type="paragraph" w:styleId="Stopka">
    <w:name w:val="footer"/>
    <w:aliases w:val="PRZYPISY"/>
    <w:basedOn w:val="Normalny"/>
    <w:link w:val="StopkaZnak"/>
    <w:uiPriority w:val="99"/>
    <w:semiHidden/>
    <w:unhideWhenUsed/>
    <w:rsid w:val="00F74ED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StopkaZnak">
    <w:name w:val="Stopka Znak"/>
    <w:aliases w:val="PRZYPISY Znak"/>
    <w:basedOn w:val="Domylnaczcionkaakapitu"/>
    <w:link w:val="Stopka"/>
    <w:uiPriority w:val="99"/>
    <w:semiHidden/>
    <w:rsid w:val="00F74EDC"/>
    <w:rPr>
      <w:rFonts w:ascii="Times New Roman" w:hAnsi="Times New Roman"/>
      <w:sz w:val="20"/>
    </w:rPr>
  </w:style>
  <w:style w:type="paragraph" w:styleId="Tekstprzypisudolnego">
    <w:name w:val="footnote text"/>
    <w:link w:val="TekstprzypisudolnegoZnak"/>
    <w:qFormat/>
    <w:rsid w:val="00152B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2B4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35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Limburska</cp:lastModifiedBy>
  <cp:revision>5</cp:revision>
  <dcterms:created xsi:type="dcterms:W3CDTF">2020-02-03T11:25:00Z</dcterms:created>
  <dcterms:modified xsi:type="dcterms:W3CDTF">2020-04-15T15:06:00Z</dcterms:modified>
</cp:coreProperties>
</file>