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5825" w:rsidRPr="004466F1" w:rsidRDefault="007B773A" w:rsidP="00325951">
      <w:pPr>
        <w:pStyle w:val="autorprokuratury"/>
      </w:pPr>
      <w:r w:rsidRPr="004466F1">
        <w:pict>
          <v:rect id="_x0000_s1026" style="position:absolute;left:0;text-align:left;margin-left:-11.05pt;margin-top:-52.15pt;width:373.4pt;height:25.1pt;z-index:251657216;v-text-anchor:middle" strokecolor="white" strokeweight=".26mm">
            <v:fill color2="black"/>
            <v:stroke color2="black"/>
          </v:rect>
        </w:pict>
      </w:r>
      <w:r w:rsidR="006A334B" w:rsidRPr="004466F1">
        <w:pict>
          <v:rect id="_x0000_s1027" style="position:absolute;left:0;text-align:left;margin-left:-11.05pt;margin-top:-52.15pt;width:373.4pt;height:25.1pt;z-index:251658240;v-text-anchor:middle" strokecolor="white" strokeweight=".26mm">
            <v:fill color2="black"/>
            <v:stroke color2="black"/>
          </v:rect>
        </w:pict>
      </w:r>
      <w:r w:rsidR="00D45825" w:rsidRPr="004466F1">
        <w:t>Piotr Hofmański, Janusz Śliwa</w:t>
      </w:r>
    </w:p>
    <w:p w:rsidR="00D45825" w:rsidRPr="004466F1" w:rsidRDefault="00D45825" w:rsidP="00325951">
      <w:pPr>
        <w:pStyle w:val="tytulprokuratury"/>
      </w:pPr>
      <w:r w:rsidRPr="004466F1">
        <w:t>Dwugłos w sprawie nowego kształtu postęp</w:t>
      </w:r>
      <w:r w:rsidRPr="004466F1">
        <w:t>o</w:t>
      </w:r>
      <w:r w:rsidRPr="004466F1">
        <w:t>wania przygotowawczego</w:t>
      </w:r>
    </w:p>
    <w:p w:rsidR="00D45825" w:rsidRPr="004466F1" w:rsidRDefault="00D45825" w:rsidP="008B64EB">
      <w:pPr>
        <w:pStyle w:val="podtytulprokuratury"/>
        <w:spacing w:before="240"/>
      </w:pPr>
      <w:r w:rsidRPr="004466F1">
        <w:t>Streszczenie</w:t>
      </w:r>
    </w:p>
    <w:p w:rsidR="00D45825" w:rsidRPr="008D3A7D" w:rsidRDefault="008B64EB" w:rsidP="004466F1">
      <w:pPr>
        <w:pStyle w:val="tekstprokuratury"/>
        <w:rPr>
          <w:i/>
          <w:iCs/>
          <w:spacing w:val="-4"/>
        </w:rPr>
      </w:pPr>
      <w:r>
        <w:rPr>
          <w:i/>
          <w:iCs/>
          <w:spacing w:val="-2"/>
        </w:rPr>
        <w:t>Pierwszy z autorów</w:t>
      </w:r>
      <w:r w:rsidR="00D45825" w:rsidRPr="008D3A7D">
        <w:rPr>
          <w:i/>
          <w:iCs/>
          <w:spacing w:val="-2"/>
        </w:rPr>
        <w:t xml:space="preserve"> (cz</w:t>
      </w:r>
      <w:r>
        <w:rPr>
          <w:i/>
          <w:iCs/>
          <w:spacing w:val="-2"/>
        </w:rPr>
        <w:t>ęść</w:t>
      </w:r>
      <w:r w:rsidR="00483DD4" w:rsidRPr="008D3A7D">
        <w:rPr>
          <w:i/>
          <w:iCs/>
          <w:spacing w:val="-2"/>
        </w:rPr>
        <w:t xml:space="preserve"> </w:t>
      </w:r>
      <w:r w:rsidR="00D45825" w:rsidRPr="008D3A7D">
        <w:rPr>
          <w:i/>
          <w:iCs/>
          <w:spacing w:val="-2"/>
        </w:rPr>
        <w:t>1) broni reformy postępowania karnego, w tym w zakresie postępowania przygotowawczego, która jest zachowawcza, twie</w:t>
      </w:r>
      <w:r w:rsidR="00D45825" w:rsidRPr="008D3A7D">
        <w:rPr>
          <w:i/>
          <w:iCs/>
          <w:spacing w:val="-2"/>
        </w:rPr>
        <w:t>r</w:t>
      </w:r>
      <w:r w:rsidR="00D45825" w:rsidRPr="008D3A7D">
        <w:rPr>
          <w:i/>
          <w:iCs/>
          <w:spacing w:val="-2"/>
        </w:rPr>
        <w:t>dząc, że już zmiana samego celu postępowania sprowadzająca się do</w:t>
      </w:r>
      <w:r w:rsidR="004466F1" w:rsidRPr="008D3A7D">
        <w:rPr>
          <w:i/>
          <w:iCs/>
          <w:spacing w:val="-2"/>
        </w:rPr>
        <w:t xml:space="preserve"> </w:t>
      </w:r>
      <w:r w:rsidR="00D45825" w:rsidRPr="008D3A7D">
        <w:rPr>
          <w:i/>
          <w:iCs/>
          <w:spacing w:val="-2"/>
        </w:rPr>
        <w:t>zebr</w:t>
      </w:r>
      <w:r w:rsidR="00D45825" w:rsidRPr="008D3A7D">
        <w:rPr>
          <w:i/>
          <w:iCs/>
          <w:spacing w:val="-2"/>
        </w:rPr>
        <w:t>a</w:t>
      </w:r>
      <w:r w:rsidR="00D45825" w:rsidRPr="008D3A7D">
        <w:rPr>
          <w:i/>
          <w:iCs/>
          <w:spacing w:val="-2"/>
        </w:rPr>
        <w:t>nia, zabezpieczenia i utrwalenia dowodów w zakresie niezbędnym do stwie</w:t>
      </w:r>
      <w:r w:rsidR="00D45825" w:rsidRPr="008D3A7D">
        <w:rPr>
          <w:i/>
          <w:iCs/>
          <w:spacing w:val="-2"/>
        </w:rPr>
        <w:t>r</w:t>
      </w:r>
      <w:r w:rsidR="00D45825" w:rsidRPr="008D3A7D">
        <w:rPr>
          <w:i/>
          <w:iCs/>
          <w:spacing w:val="-2"/>
        </w:rPr>
        <w:t>dzenia zasadności wniesienia aktu oskarżenia albo innego zakończenia p</w:t>
      </w:r>
      <w:r w:rsidR="00D45825" w:rsidRPr="008D3A7D">
        <w:rPr>
          <w:i/>
          <w:iCs/>
          <w:spacing w:val="-2"/>
        </w:rPr>
        <w:t>o</w:t>
      </w:r>
      <w:r w:rsidR="00D45825" w:rsidRPr="008D3A7D">
        <w:rPr>
          <w:i/>
          <w:iCs/>
          <w:spacing w:val="-2"/>
        </w:rPr>
        <w:t xml:space="preserve">stępowania, wyraźnie wskazuje na istotną przebudowę jego modelu. </w:t>
      </w:r>
      <w:r>
        <w:rPr>
          <w:i/>
          <w:iCs/>
          <w:spacing w:val="-2"/>
        </w:rPr>
        <w:t>Z kolei, drugi a</w:t>
      </w:r>
      <w:r w:rsidR="008D3A7D" w:rsidRPr="008D3A7D">
        <w:rPr>
          <w:i/>
          <w:iCs/>
          <w:spacing w:val="-2"/>
        </w:rPr>
        <w:t>utor (cz</w:t>
      </w:r>
      <w:r>
        <w:rPr>
          <w:i/>
          <w:iCs/>
          <w:spacing w:val="-2"/>
        </w:rPr>
        <w:t>ęść</w:t>
      </w:r>
      <w:r w:rsidR="008D3A7D" w:rsidRPr="008D3A7D">
        <w:rPr>
          <w:i/>
          <w:iCs/>
          <w:spacing w:val="-2"/>
        </w:rPr>
        <w:t xml:space="preserve"> 2)</w:t>
      </w:r>
      <w:r>
        <w:rPr>
          <w:i/>
          <w:iCs/>
          <w:spacing w:val="-2"/>
        </w:rPr>
        <w:t>,</w:t>
      </w:r>
      <w:r w:rsidR="008D3A7D" w:rsidRPr="008D3A7D">
        <w:rPr>
          <w:i/>
          <w:iCs/>
          <w:spacing w:val="-2"/>
        </w:rPr>
        <w:t xml:space="preserve"> odnosząc się do nowej treści przepisów kodeksu</w:t>
      </w:r>
      <w:r>
        <w:rPr>
          <w:i/>
          <w:iCs/>
          <w:spacing w:val="-2"/>
        </w:rPr>
        <w:t>,</w:t>
      </w:r>
      <w:r w:rsidR="008D3A7D" w:rsidRPr="008D3A7D">
        <w:rPr>
          <w:i/>
          <w:iCs/>
          <w:spacing w:val="-2"/>
        </w:rPr>
        <w:t xml:space="preserve"> po</w:t>
      </w:r>
      <w:r w:rsidR="008D3A7D" w:rsidRPr="008D3A7D">
        <w:rPr>
          <w:i/>
          <w:iCs/>
          <w:spacing w:val="-2"/>
        </w:rPr>
        <w:t>d</w:t>
      </w:r>
      <w:r w:rsidR="008D3A7D" w:rsidRPr="008D3A7D">
        <w:rPr>
          <w:i/>
          <w:iCs/>
          <w:spacing w:val="-2"/>
        </w:rPr>
        <w:t>nosi, że zmiana celu p</w:t>
      </w:r>
      <w:r w:rsidR="008D3A7D" w:rsidRPr="008D3A7D">
        <w:rPr>
          <w:i/>
          <w:iCs/>
          <w:spacing w:val="-2"/>
        </w:rPr>
        <w:t>o</w:t>
      </w:r>
      <w:r w:rsidR="008D3A7D" w:rsidRPr="008D3A7D">
        <w:rPr>
          <w:i/>
          <w:iCs/>
          <w:spacing w:val="-2"/>
        </w:rPr>
        <w:t>stępowania przygotowawczego, bez wprowadzenia zmian w innych przepisach o charakterze wykonawczym</w:t>
      </w:r>
      <w:r>
        <w:rPr>
          <w:i/>
          <w:iCs/>
          <w:spacing w:val="-2"/>
        </w:rPr>
        <w:t>,</w:t>
      </w:r>
      <w:r w:rsidR="008D3A7D" w:rsidRPr="008D3A7D">
        <w:rPr>
          <w:i/>
          <w:iCs/>
          <w:spacing w:val="-2"/>
        </w:rPr>
        <w:t xml:space="preserve"> może nie doprow</w:t>
      </w:r>
      <w:r w:rsidR="008D3A7D" w:rsidRPr="008D3A7D">
        <w:rPr>
          <w:i/>
          <w:iCs/>
          <w:spacing w:val="-2"/>
        </w:rPr>
        <w:t>a</w:t>
      </w:r>
      <w:r w:rsidR="008D3A7D" w:rsidRPr="008D3A7D">
        <w:rPr>
          <w:i/>
          <w:iCs/>
          <w:spacing w:val="-2"/>
        </w:rPr>
        <w:t xml:space="preserve">dzić do zakładanych zmian działań </w:t>
      </w:r>
      <w:r w:rsidR="008D3A7D" w:rsidRPr="008D3A7D">
        <w:rPr>
          <w:i/>
          <w:iCs/>
          <w:spacing w:val="-4"/>
        </w:rPr>
        <w:t>praktycznych organów postępowania prz</w:t>
      </w:r>
      <w:r w:rsidR="008D3A7D" w:rsidRPr="008D3A7D">
        <w:rPr>
          <w:i/>
          <w:iCs/>
          <w:spacing w:val="-4"/>
        </w:rPr>
        <w:t>y</w:t>
      </w:r>
      <w:r w:rsidR="008D3A7D" w:rsidRPr="008D3A7D">
        <w:rPr>
          <w:i/>
          <w:iCs/>
          <w:spacing w:val="-4"/>
        </w:rPr>
        <w:t>gotowawczego</w:t>
      </w:r>
      <w:r>
        <w:rPr>
          <w:i/>
          <w:iCs/>
          <w:spacing w:val="-4"/>
        </w:rPr>
        <w:t>,</w:t>
      </w:r>
      <w:r w:rsidR="008D3A7D" w:rsidRPr="008D3A7D">
        <w:rPr>
          <w:i/>
          <w:iCs/>
          <w:spacing w:val="-4"/>
        </w:rPr>
        <w:t xml:space="preserve"> i przytacza szereg argumentów wskazujących na trudności w</w:t>
      </w:r>
      <w:r>
        <w:rPr>
          <w:i/>
          <w:iCs/>
          <w:spacing w:val="-4"/>
        </w:rPr>
        <w:t> </w:t>
      </w:r>
      <w:r w:rsidR="008D3A7D" w:rsidRPr="008D3A7D">
        <w:rPr>
          <w:i/>
          <w:iCs/>
          <w:spacing w:val="-4"/>
        </w:rPr>
        <w:t>pełnej rekonstrukcji nowego mod</w:t>
      </w:r>
      <w:r w:rsidR="008D3A7D" w:rsidRPr="008D3A7D">
        <w:rPr>
          <w:i/>
          <w:iCs/>
          <w:spacing w:val="-4"/>
        </w:rPr>
        <w:t>e</w:t>
      </w:r>
      <w:r w:rsidR="008D3A7D" w:rsidRPr="008D3A7D">
        <w:rPr>
          <w:i/>
          <w:iCs/>
          <w:spacing w:val="-4"/>
        </w:rPr>
        <w:t>lu.</w:t>
      </w:r>
    </w:p>
    <w:p w:rsidR="00D45825" w:rsidRPr="004466F1" w:rsidRDefault="00D45825" w:rsidP="00325951">
      <w:pPr>
        <w:pStyle w:val="podtytulprokuratury"/>
      </w:pPr>
      <w:r w:rsidRPr="004466F1">
        <w:t>Część I – Piotr Hofmański</w:t>
      </w:r>
    </w:p>
    <w:p w:rsidR="00D45825" w:rsidRPr="004466F1" w:rsidRDefault="00D45825" w:rsidP="004466F1">
      <w:pPr>
        <w:pStyle w:val="tekstprokuratury"/>
      </w:pPr>
      <w:r w:rsidRPr="004466F1">
        <w:t>W dyskusji nad uchwaloną przez Sejm w dniu 27 września 2013 r.</w:t>
      </w:r>
      <w:r w:rsidRPr="004466F1">
        <w:rPr>
          <w:rStyle w:val="Odwoanieprzypisudolnego"/>
          <w:rFonts w:ascii="Arial" w:hAnsi="Arial" w:cs="Arial"/>
          <w:szCs w:val="21"/>
        </w:rPr>
        <w:footnoteReference w:id="1"/>
      </w:r>
      <w:r w:rsidRPr="004466F1">
        <w:t xml:space="preserve"> wie</w:t>
      </w:r>
      <w:r w:rsidRPr="004466F1">
        <w:t>l</w:t>
      </w:r>
      <w:r w:rsidRPr="004466F1">
        <w:t>ką reformą postępowania karnego często pojawia się wątek dotyczący p</w:t>
      </w:r>
      <w:r w:rsidRPr="004466F1">
        <w:t>o</w:t>
      </w:r>
      <w:r w:rsidRPr="004466F1">
        <w:t>stępowania przygotowawczego. Twierdzi się, że o ile twórcy reformy sko</w:t>
      </w:r>
      <w:r w:rsidRPr="004466F1">
        <w:t>n</w:t>
      </w:r>
      <w:r w:rsidRPr="004466F1">
        <w:t>centrowali się na zagadnieniu kontradyktoryjności postępowania jurysdy</w:t>
      </w:r>
      <w:r w:rsidRPr="004466F1">
        <w:t>k</w:t>
      </w:r>
      <w:r w:rsidRPr="004466F1">
        <w:t>cyjnego, to postępowanie poprzedzające wniesienie aktu oskarżenia poz</w:t>
      </w:r>
      <w:r w:rsidRPr="004466F1">
        <w:t>o</w:t>
      </w:r>
      <w:r w:rsidRPr="004466F1">
        <w:t>stało na uboczu. Jeżeli jednak zagłębimy się w założenia projektu reformy i</w:t>
      </w:r>
      <w:r w:rsidR="002A25B7">
        <w:t> </w:t>
      </w:r>
      <w:r w:rsidRPr="004466F1">
        <w:t>uzasa</w:t>
      </w:r>
      <w:r w:rsidRPr="004466F1">
        <w:t>d</w:t>
      </w:r>
      <w:r w:rsidRPr="004466F1">
        <w:t>nienie projektu przedstawione przez Komisję Kodyfikacyjną Prawa Karnego, dowiemy się, że celem, do jakiego zmierza reforma, jest ogran</w:t>
      </w:r>
      <w:r w:rsidRPr="004466F1">
        <w:t>i</w:t>
      </w:r>
      <w:r w:rsidRPr="004466F1">
        <w:t>czenie znaczenia postępowania przygotowawczego na rzecz kontradykt</w:t>
      </w:r>
      <w:r w:rsidRPr="004466F1">
        <w:t>o</w:t>
      </w:r>
      <w:r w:rsidRPr="004466F1">
        <w:t>ryjnego postępowania przed sądem. Zasadniczym argumentem uzasadni</w:t>
      </w:r>
      <w:r w:rsidRPr="004466F1">
        <w:t>a</w:t>
      </w:r>
      <w:r w:rsidRPr="004466F1">
        <w:t>jącym ten kierunek reformy jest nieakceptowalna przewlekłość postępow</w:t>
      </w:r>
      <w:r w:rsidRPr="004466F1">
        <w:t>a</w:t>
      </w:r>
      <w:r w:rsidRPr="004466F1">
        <w:t>nia karnego, wynikająca głównie z bezproduktywnego powtarzania po wiel</w:t>
      </w:r>
      <w:r w:rsidRPr="004466F1">
        <w:t>o</w:t>
      </w:r>
      <w:r w:rsidRPr="004466F1">
        <w:t>kroć tych s</w:t>
      </w:r>
      <w:r w:rsidRPr="004466F1">
        <w:t>a</w:t>
      </w:r>
      <w:r w:rsidRPr="004466F1">
        <w:t>mych czynności dowodowych. Postawienie na kontradyktoryjną rozprawę ma zatem oznaczać, że to w postępowaniu przygotowawczym n</w:t>
      </w:r>
      <w:r w:rsidRPr="004466F1">
        <w:t>a</w:t>
      </w:r>
      <w:r w:rsidRPr="004466F1">
        <w:t xml:space="preserve">stąpić mają zasadnicze „oszczędności”, a dowody – zamiast za biurkami </w:t>
      </w:r>
      <w:r w:rsidRPr="004466F1">
        <w:lastRenderedPageBreak/>
        <w:t>śledczych – mają być przeprowadzane przez strony przed zachowującym kontradykt</w:t>
      </w:r>
      <w:r w:rsidRPr="004466F1">
        <w:t>o</w:t>
      </w:r>
      <w:r w:rsidRPr="004466F1">
        <w:t>ryjną bierność sądem</w:t>
      </w:r>
      <w:r w:rsidRPr="004466F1">
        <w:rPr>
          <w:rStyle w:val="Odwoanieprzypisudolnego"/>
          <w:rFonts w:ascii="Arial" w:hAnsi="Arial" w:cs="Arial"/>
          <w:szCs w:val="21"/>
        </w:rPr>
        <w:footnoteReference w:id="2"/>
      </w:r>
      <w:r w:rsidRPr="004466F1">
        <w:t>.</w:t>
      </w:r>
    </w:p>
    <w:p w:rsidR="00D45825" w:rsidRPr="004466F1" w:rsidRDefault="00D45825" w:rsidP="004466F1">
      <w:pPr>
        <w:pStyle w:val="tekstprokuratury"/>
      </w:pPr>
      <w:r w:rsidRPr="004466F1">
        <w:t>Powstaje jednak pytanie, czy tak widziane założenia znalazły rz</w:t>
      </w:r>
      <w:r w:rsidRPr="004466F1">
        <w:t>e</w:t>
      </w:r>
      <w:r w:rsidRPr="004466F1">
        <w:t>czywiste przełożenie w treści znowelizowanych przepisów Kodeksu. Odpowiedź zal</w:t>
      </w:r>
      <w:r w:rsidRPr="004466F1">
        <w:t>e</w:t>
      </w:r>
      <w:r w:rsidRPr="004466F1">
        <w:t>ży z pewnością w dużym stopniu od nastawienia respondenta. Jeżeli ktoś identyfikuje się z założeniami reformy, bez wahania odwoła się do nowej tr</w:t>
      </w:r>
      <w:r w:rsidRPr="004466F1">
        <w:t>e</w:t>
      </w:r>
      <w:r w:rsidRPr="004466F1">
        <w:t>ści art. 297 § 1 k.p.k.</w:t>
      </w:r>
      <w:r w:rsidRPr="004466F1">
        <w:rPr>
          <w:rStyle w:val="Odwoanieprzypisudolnego"/>
          <w:rFonts w:ascii="Arial" w:hAnsi="Arial" w:cs="Arial"/>
          <w:szCs w:val="21"/>
        </w:rPr>
        <w:footnoteReference w:id="3"/>
      </w:r>
      <w:r w:rsidRPr="004466F1">
        <w:t xml:space="preserve">, który </w:t>
      </w:r>
      <w:r w:rsidR="004466F1">
        <w:t>–</w:t>
      </w:r>
      <w:r w:rsidRPr="004466F1">
        <w:t xml:space="preserve"> obok innych </w:t>
      </w:r>
      <w:r w:rsidR="004466F1">
        <w:t>–</w:t>
      </w:r>
      <w:r w:rsidRPr="004466F1">
        <w:t xml:space="preserve"> deklaruje cel postępowania przygotowawczego sprowadzający się do zebrania, zabezpieczenia i utrw</w:t>
      </w:r>
      <w:r w:rsidRPr="004466F1">
        <w:t>a</w:t>
      </w:r>
      <w:r w:rsidRPr="004466F1">
        <w:t>lenia dowodów w zakresie niezbędnym do stwierdzenia zasadności wniesi</w:t>
      </w:r>
      <w:r w:rsidRPr="004466F1">
        <w:t>e</w:t>
      </w:r>
      <w:r w:rsidRPr="004466F1">
        <w:t>nia aktu oskarżenia albo innego zakończenia postępowania, jak ró</w:t>
      </w:r>
      <w:r w:rsidRPr="004466F1">
        <w:t>w</w:t>
      </w:r>
      <w:r w:rsidRPr="004466F1">
        <w:t>nież do przedstawienia wniosków o dopuszczenie tych dowodów i przepr</w:t>
      </w:r>
      <w:r w:rsidRPr="004466F1">
        <w:t>o</w:t>
      </w:r>
      <w:r w:rsidRPr="004466F1">
        <w:t>wadzenie ich przed sądem. Uważny czytelnik</w:t>
      </w:r>
      <w:r w:rsidR="004466F1">
        <w:t xml:space="preserve"> </w:t>
      </w:r>
      <w:r w:rsidRPr="004466F1">
        <w:t>od razu spostrzeże, że p</w:t>
      </w:r>
      <w:r w:rsidRPr="004466F1">
        <w:t>o</w:t>
      </w:r>
      <w:r w:rsidRPr="004466F1">
        <w:t>przez takie sformułowanie ustawodawca odstępuje od wymogu, aby w p</w:t>
      </w:r>
      <w:r w:rsidRPr="004466F1">
        <w:t>o</w:t>
      </w:r>
      <w:r w:rsidRPr="004466F1">
        <w:t>stępowaniu przygotowawczym zbierano dowody dla sądu. Z rozwiąz</w:t>
      </w:r>
      <w:r w:rsidRPr="004466F1">
        <w:t>a</w:t>
      </w:r>
      <w:r w:rsidRPr="004466F1">
        <w:t>niem tym jasno koresponduje założenie, że przedstawiony sądowi akt oskarżenia nie musi zawierać już uzasadnienia (art. 332 § 2 k.p.k.), albowiem rekonstrukcja zd</w:t>
      </w:r>
      <w:r w:rsidRPr="004466F1">
        <w:t>a</w:t>
      </w:r>
      <w:r w:rsidRPr="004466F1">
        <w:t>rzenia, którego zaistnienie stało się kanwą aktu oskarżenia, nastąpić ma d</w:t>
      </w:r>
      <w:r w:rsidRPr="004466F1">
        <w:t>o</w:t>
      </w:r>
      <w:r w:rsidRPr="004466F1">
        <w:t>piero w sądzie, w ogniu kontradyktoryjnej walki prowadzonej przez strony. Trudno bowiem wymagać, aby prokurator dok</w:t>
      </w:r>
      <w:r w:rsidRPr="004466F1">
        <w:t>o</w:t>
      </w:r>
      <w:r w:rsidRPr="004466F1">
        <w:t>nywał pełnej rekonstrukcji inkryminowanego zdarzenia, skoro oskarżenie formułowane jest jeszcze przed przeprowadzeniem dowodów, a w każdym razie po ni</w:t>
      </w:r>
      <w:r w:rsidRPr="004466F1">
        <w:t>e</w:t>
      </w:r>
      <w:r w:rsidRPr="004466F1">
        <w:t>kompletnym postępowaniu dowodowym. Jest także logiczne, że wraz z aktem oskarż</w:t>
      </w:r>
      <w:r w:rsidRPr="004466F1">
        <w:t>e</w:t>
      </w:r>
      <w:r w:rsidRPr="004466F1">
        <w:t>nia prokurator przekazuje sądowi nie – jak dotąd – kompletne akta postępow</w:t>
      </w:r>
      <w:r w:rsidRPr="004466F1">
        <w:t>a</w:t>
      </w:r>
      <w:r w:rsidRPr="004466F1">
        <w:t>nia przygotowawczego, ale jedynie niektóre materiały postępowania przyg</w:t>
      </w:r>
      <w:r w:rsidRPr="004466F1">
        <w:t>o</w:t>
      </w:r>
      <w:r w:rsidRPr="004466F1">
        <w:t>towawczego (art. 334 § 1 k.p.k.). Zakłada się przy tym, że nawet jeżeli w t</w:t>
      </w:r>
      <w:r w:rsidRPr="004466F1">
        <w:t>o</w:t>
      </w:r>
      <w:r w:rsidRPr="004466F1">
        <w:t>ku postępowania przygotowawczego dojdzie do przeprowadzenia d</w:t>
      </w:r>
      <w:r w:rsidRPr="004466F1">
        <w:t>o</w:t>
      </w:r>
      <w:r w:rsidRPr="004466F1">
        <w:t>wodów z przesłuchań świadków, to protokoły ich z</w:t>
      </w:r>
      <w:r w:rsidRPr="004466F1">
        <w:t>e</w:t>
      </w:r>
      <w:r w:rsidRPr="004466F1">
        <w:t>znań nie będą załączane do akt sprawy, lecz podlegały będą przekazaniu sądowi w wyo</w:t>
      </w:r>
      <w:r w:rsidRPr="004466F1">
        <w:t>d</w:t>
      </w:r>
      <w:r w:rsidRPr="004466F1">
        <w:t>rębnionym zbiorze dokumentów (art. 334 § 3 k.p.k.). Sens takiej operacji daje się zd</w:t>
      </w:r>
      <w:r w:rsidRPr="004466F1">
        <w:t>e</w:t>
      </w:r>
      <w:r w:rsidRPr="004466F1">
        <w:t>kodować przy uwzględnieniu ukształtowanych na nowo reguł wprowadzania do pr</w:t>
      </w:r>
      <w:r w:rsidRPr="004466F1">
        <w:t>o</w:t>
      </w:r>
      <w:r w:rsidRPr="004466F1">
        <w:t>cesu dowodu z przeprowadzonego przed wniesieniem skargi przesł</w:t>
      </w:r>
      <w:r w:rsidRPr="004466F1">
        <w:t>u</w:t>
      </w:r>
      <w:r w:rsidRPr="004466F1">
        <w:t>chania świadka. Świadek ma być przesłuchany bezpośrednio przed sądem, a po zaprotokołowane zeznania z postępowania przygot</w:t>
      </w:r>
      <w:r w:rsidRPr="004466F1">
        <w:t>o</w:t>
      </w:r>
      <w:r w:rsidRPr="004466F1">
        <w:t>wawczego będzie wolno sięgnąć stronie przeprowadzającej dowód jedynie wtedy, gdy świadek be</w:t>
      </w:r>
      <w:r w:rsidRPr="004466F1">
        <w:t>z</w:t>
      </w:r>
      <w:r w:rsidRPr="004466F1">
        <w:t>podstawnie odmawia zeznań, zeznaje odmiennie niż poprzednio albo oświadczy, że pewnych szczegółów nie pamięta (art. 391 § 1 k.p.k.). Dopi</w:t>
      </w:r>
      <w:r w:rsidRPr="004466F1">
        <w:t>e</w:t>
      </w:r>
      <w:r w:rsidRPr="004466F1">
        <w:t>ro wtedy – w odpowiednim fragmencie – dowód z przesł</w:t>
      </w:r>
      <w:r w:rsidRPr="004466F1">
        <w:t>u</w:t>
      </w:r>
      <w:r w:rsidRPr="004466F1">
        <w:t>chania świadka przeprowadzony w postępowaniu przygotowa</w:t>
      </w:r>
      <w:r w:rsidRPr="004466F1">
        <w:t>w</w:t>
      </w:r>
      <w:r w:rsidRPr="004466F1">
        <w:t xml:space="preserve">czym może stać się częścią </w:t>
      </w:r>
      <w:r w:rsidRPr="004466F1">
        <w:lastRenderedPageBreak/>
        <w:t>materiału dowodowego będącego podstawą orzekania przez sąd (por. art.</w:t>
      </w:r>
      <w:r w:rsidR="002A25B7">
        <w:t> </w:t>
      </w:r>
      <w:r w:rsidRPr="004466F1">
        <w:t>391 § 1d k.p.k.). Czytelną intencją ustawodawcy było zniechęcenie śle</w:t>
      </w:r>
      <w:r w:rsidRPr="004466F1">
        <w:t>d</w:t>
      </w:r>
      <w:r w:rsidRPr="004466F1">
        <w:t>czych do przeprowadzania dowodów przed wniesieniem aktu oskarżenia, poprzez ograniczenie procesowych możliwości ich wykorzystania i skłoni</w:t>
      </w:r>
      <w:r w:rsidRPr="004466F1">
        <w:t>e</w:t>
      </w:r>
      <w:r w:rsidRPr="004466F1">
        <w:t>nie do opierania skarg oskarżycielskich na materiale nienadającym się wprawdzie do bezpośredniego wykorzystania w postępow</w:t>
      </w:r>
      <w:r w:rsidRPr="004466F1">
        <w:t>a</w:t>
      </w:r>
      <w:r w:rsidRPr="004466F1">
        <w:t>niu sądowym, ale na takim, który nie mając waloru procesowego pozwala na sformułowanie odpowiednich wniosków dowodowych i – co najważniejsze – może być z</w:t>
      </w:r>
      <w:r w:rsidRPr="004466F1">
        <w:t>e</w:t>
      </w:r>
      <w:r w:rsidRPr="004466F1">
        <w:t>brany szybko i bez zbędnego formalizowania d</w:t>
      </w:r>
      <w:r w:rsidRPr="004466F1">
        <w:t>o</w:t>
      </w:r>
      <w:r w:rsidRPr="004466F1">
        <w:t>konywanych czynności.</w:t>
      </w:r>
    </w:p>
    <w:p w:rsidR="00D45825" w:rsidRPr="004466F1" w:rsidRDefault="00D45825" w:rsidP="004466F1">
      <w:pPr>
        <w:pStyle w:val="tekstprokuratury"/>
      </w:pPr>
      <w:r w:rsidRPr="004466F1">
        <w:t>Czy jednak założenia powyżej zreferowane mają szansę na realiz</w:t>
      </w:r>
      <w:r w:rsidRPr="004466F1">
        <w:t>a</w:t>
      </w:r>
      <w:r w:rsidRPr="004466F1">
        <w:t>cję po wejściu w życie ustawy nowelizującej Kodeks? Solidnie uzasadnione wydają się obawy, że tak wcale stać się nie musi. Jest co najmniej pięć p</w:t>
      </w:r>
      <w:r w:rsidRPr="004466F1">
        <w:t>o</w:t>
      </w:r>
      <w:r w:rsidRPr="004466F1">
        <w:t>wodów, dla których po wejściu w życie noweli do ograniczenia postępowania przyg</w:t>
      </w:r>
      <w:r w:rsidRPr="004466F1">
        <w:t>o</w:t>
      </w:r>
      <w:r w:rsidRPr="004466F1">
        <w:t>towawczego może w ogóle nie dojść. Powody staramy się poniżej ukazać z</w:t>
      </w:r>
      <w:r w:rsidR="00821F40">
        <w:t> </w:t>
      </w:r>
      <w:r w:rsidRPr="004466F1">
        <w:t>różnych punktów widzenia. Jakkolwiek zarówno piszący te słowa, jak i prokurator Śliwa, choć obaj są członkami Komisji Kodyfikacyjnej Prawa Ka</w:t>
      </w:r>
      <w:r w:rsidRPr="004466F1">
        <w:t>r</w:t>
      </w:r>
      <w:r w:rsidRPr="004466F1">
        <w:t>nego i obaj uczestniczyli w przygotowaniu zrębów reformy, niekoniecznie zgadz</w:t>
      </w:r>
      <w:r w:rsidRPr="004466F1">
        <w:t>a</w:t>
      </w:r>
      <w:r w:rsidRPr="004466F1">
        <w:t>ją się co do prezentowanych poniżej założeń. Stąd dwugłos wydaje się najlepsz</w:t>
      </w:r>
      <w:r w:rsidR="00A92E86">
        <w:t>ą</w:t>
      </w:r>
      <w:r w:rsidRPr="004466F1">
        <w:t xml:space="preserve"> z możliwych form wielopłaszczyznowego, choć z konieczności skr</w:t>
      </w:r>
      <w:r w:rsidRPr="004466F1">
        <w:t>ó</w:t>
      </w:r>
      <w:r w:rsidRPr="004466F1">
        <w:t>towego, ukazania całego materii skomplikowania.</w:t>
      </w:r>
    </w:p>
    <w:p w:rsidR="00D45825" w:rsidRPr="004466F1" w:rsidRDefault="00D45825" w:rsidP="004466F1">
      <w:pPr>
        <w:pStyle w:val="tekstprokuratury"/>
      </w:pPr>
      <w:r w:rsidRPr="004466F1">
        <w:t>Wstępnie wyznaczając pole dyskursu i konfrontacji, wskazać pragnę na pięć zagadnień, które w płaszczyźnie tematyki niniejszego opracowania w</w:t>
      </w:r>
      <w:r w:rsidRPr="004466F1">
        <w:t>y</w:t>
      </w:r>
      <w:r w:rsidRPr="004466F1">
        <w:t>dają mi się kluczowe.</w:t>
      </w:r>
    </w:p>
    <w:p w:rsidR="00D45825" w:rsidRPr="004466F1" w:rsidRDefault="00D45825" w:rsidP="004466F1">
      <w:pPr>
        <w:pStyle w:val="tekstprokuratury"/>
      </w:pPr>
      <w:r w:rsidRPr="004466F1">
        <w:t>Po pierwsze, nowela przyniesie sporo rewolucyjnych zmian, nie ulegnie jednak zmianie zapisana w art. 4 k.p.k. zasada obiektywizmu. Rez</w:t>
      </w:r>
      <w:r w:rsidRPr="004466F1">
        <w:t>y</w:t>
      </w:r>
      <w:r w:rsidRPr="004466F1">
        <w:t>gnacja z</w:t>
      </w:r>
      <w:r w:rsidR="00821F40">
        <w:t> </w:t>
      </w:r>
      <w:r w:rsidRPr="004466F1">
        <w:t>tej zasady – nawet tylko w odniesieniu do organów prowadzących post</w:t>
      </w:r>
      <w:r w:rsidRPr="004466F1">
        <w:t>ę</w:t>
      </w:r>
      <w:r w:rsidRPr="004466F1">
        <w:t xml:space="preserve">powanie przygotowawcze </w:t>
      </w:r>
      <w:r w:rsidR="004466F1">
        <w:t>–</w:t>
      </w:r>
      <w:r w:rsidRPr="004466F1">
        <w:t xml:space="preserve"> byłaby niedobrym sygnałem, że oto ustawoda</w:t>
      </w:r>
      <w:r w:rsidRPr="004466F1">
        <w:t>w</w:t>
      </w:r>
      <w:r w:rsidRPr="004466F1">
        <w:t>ca godzi się z brakiem obiektywizmu po stronie tych organów. Organ proc</w:t>
      </w:r>
      <w:r w:rsidRPr="004466F1">
        <w:t>e</w:t>
      </w:r>
      <w:r w:rsidRPr="004466F1">
        <w:t>sowy, związany dyrektywą wypływającą z zasady obiektywizmu, b</w:t>
      </w:r>
      <w:r w:rsidRPr="004466F1">
        <w:t>ę</w:t>
      </w:r>
      <w:r w:rsidRPr="004466F1">
        <w:t>dzie więc musiał wszechstronnie prowadzić postępowanie przygotowawcze, albowiem jednostronność jego działania, nakierowana jedynie na zebranie dowodów obciążających, musiałaby być uznana za sprzeczną z art. 4 k.p.k. Wydaje się jednak, że mając na uwadze nowy model postępowania</w:t>
      </w:r>
      <w:r w:rsidR="008B64EB">
        <w:t>,</w:t>
      </w:r>
      <w:r w:rsidRPr="004466F1">
        <w:t xml:space="preserve"> należy zasadę obiektywizmu przedefiniować. Może być nadal interpretowana jako źródło nakazu „równoprawnego” traktowania stron w postępowaniu przygotowa</w:t>
      </w:r>
      <w:r w:rsidRPr="004466F1">
        <w:t>w</w:t>
      </w:r>
      <w:r w:rsidRPr="004466F1">
        <w:t>czym, ale już nie jako bezwzględny nakaz uwzględniania okoliczności k</w:t>
      </w:r>
      <w:r w:rsidRPr="004466F1">
        <w:t>o</w:t>
      </w:r>
      <w:r w:rsidRPr="004466F1">
        <w:t xml:space="preserve">rzystnych </w:t>
      </w:r>
      <w:r w:rsidR="00A92E86">
        <w:t xml:space="preserve">dla </w:t>
      </w:r>
      <w:r w:rsidRPr="004466F1">
        <w:t>oskarżonego w takim samym stopniu jak okoliczności go o</w:t>
      </w:r>
      <w:r w:rsidRPr="004466F1">
        <w:t>b</w:t>
      </w:r>
      <w:r w:rsidRPr="004466F1">
        <w:t>ciążających. Przyjęciu odmiennego założenia stoją na przeszkodzie sform</w:t>
      </w:r>
      <w:r w:rsidRPr="004466F1">
        <w:t>u</w:t>
      </w:r>
      <w:r w:rsidRPr="004466F1">
        <w:t>łowane w art. 297 § 1 pkt 5 k.p.k. cele postępowania przygotowawczego, gdzie mowa o konieczności gromadzenia i zabezpieczenia dowodów w z</w:t>
      </w:r>
      <w:r w:rsidRPr="004466F1">
        <w:t>a</w:t>
      </w:r>
      <w:r w:rsidRPr="004466F1">
        <w:t>kresie niezbędnym do stwierdzenia zasadności wniesienia aktu oskarżenia lub i</w:t>
      </w:r>
      <w:r w:rsidRPr="004466F1">
        <w:t>n</w:t>
      </w:r>
      <w:r w:rsidRPr="004466F1">
        <w:t xml:space="preserve">nego zakończenia postępowania. Nakaz zachowania obiektywizmu </w:t>
      </w:r>
      <w:r w:rsidRPr="004466F1">
        <w:lastRenderedPageBreak/>
        <w:t>należy zatem raczej rozumieć jako zakaz tendencyjnego nastawienia wobec obrony lub pokrzywdzonego, czy dążenia za wszelką cenę do wykazania, że zarzut sformułowany pod adresem podejrzanego jest zasadny lub niezasa</w:t>
      </w:r>
      <w:r w:rsidRPr="004466F1">
        <w:t>d</w:t>
      </w:r>
      <w:r w:rsidRPr="004466F1">
        <w:t>ny</w:t>
      </w:r>
      <w:r w:rsidRPr="004466F1">
        <w:rPr>
          <w:rStyle w:val="Odwoanieprzypisudolnego"/>
          <w:rFonts w:ascii="Arial" w:hAnsi="Arial" w:cs="Arial"/>
          <w:szCs w:val="21"/>
        </w:rPr>
        <w:footnoteReference w:id="4"/>
      </w:r>
      <w:r w:rsidRPr="004466F1">
        <w:t>. Trudno bezkrytycznie akceptować odnoszenie zasady obiektywizmu do organów postępowania przygotowawczego, skoro celem postępowania, kt</w:t>
      </w:r>
      <w:r w:rsidRPr="004466F1">
        <w:t>ó</w:t>
      </w:r>
      <w:r w:rsidRPr="004466F1">
        <w:t>re prowadzą, jest zebranie informacji wspierających oskarżenie. Raczej je</w:t>
      </w:r>
      <w:r w:rsidRPr="004466F1">
        <w:t>d</w:t>
      </w:r>
      <w:r w:rsidRPr="004466F1">
        <w:t>nostronna jest też rola prokuratora na rozprawie przed sądem, gdzie przy</w:t>
      </w:r>
      <w:r w:rsidRPr="004466F1">
        <w:t>j</w:t>
      </w:r>
      <w:r w:rsidRPr="004466F1">
        <w:t>dzie mu się spierać z obroną. Trudno wyobrazić sobie kontradyktoryjny spór o</w:t>
      </w:r>
      <w:r w:rsidR="002A25B7">
        <w:t> </w:t>
      </w:r>
      <w:r w:rsidRPr="004466F1">
        <w:t>prawdę w sytuacji, gdy jedna ze stron uwzględnia jedynie okoliczności dla siebie korzystne (por. art. 86 § 1 k.p.k.), zaś druga ma obowiązek uwzglę</w:t>
      </w:r>
      <w:r w:rsidRPr="004466F1">
        <w:t>d</w:t>
      </w:r>
      <w:r w:rsidRPr="004466F1">
        <w:t>niania także przemawiających „na jej niekorzyść”. Mając to na uwadze, n</w:t>
      </w:r>
      <w:r w:rsidRPr="004466F1">
        <w:t>a</w:t>
      </w:r>
      <w:r w:rsidRPr="004466F1">
        <w:t>leży nieco odmiennie niż dotąd podejść do zagadnienia adresatów normy wyrażającej zasadę obiektywizmu. Bez bliższej argumentacji przyjmowano dotąd w piśmiennictwie procesowym, że zasadę obiektywizmu należy odn</w:t>
      </w:r>
      <w:r w:rsidRPr="004466F1">
        <w:t>o</w:t>
      </w:r>
      <w:r w:rsidRPr="004466F1">
        <w:t>sić nie tylko do organów prowadzących postępowanie przygotowawcze, ale także do oskarżyciela publicznego</w:t>
      </w:r>
      <w:r w:rsidRPr="004466F1">
        <w:rPr>
          <w:rStyle w:val="Odwoanieprzypisudolnego"/>
          <w:rFonts w:ascii="Arial" w:hAnsi="Arial" w:cs="Arial"/>
          <w:szCs w:val="21"/>
        </w:rPr>
        <w:footnoteReference w:id="5"/>
      </w:r>
      <w:r w:rsidRPr="004466F1">
        <w:t>. Wydaje się jednak, że nowe uwarunk</w:t>
      </w:r>
      <w:r w:rsidRPr="004466F1">
        <w:t>o</w:t>
      </w:r>
      <w:r w:rsidRPr="004466F1">
        <w:t xml:space="preserve">wania systemowe powinny skłaniać do interpretowania art. 4 k.p.k. ściśle, przy uwzględnieniu tego, że po wniesieniu aktu oskarżenia prokurator staje się stroną </w:t>
      </w:r>
      <w:r w:rsidR="008B64EB" w:rsidRPr="004466F1">
        <w:t>postępowania</w:t>
      </w:r>
      <w:r w:rsidRPr="004466F1">
        <w:t>, w związku z czym przestaje być adresatem dyre</w:t>
      </w:r>
      <w:r w:rsidRPr="004466F1">
        <w:t>k</w:t>
      </w:r>
      <w:r w:rsidRPr="004466F1">
        <w:t>tywy wypływającej z tego przepisu.</w:t>
      </w:r>
    </w:p>
    <w:p w:rsidR="00D45825" w:rsidRPr="004466F1" w:rsidRDefault="00D45825" w:rsidP="004466F1">
      <w:pPr>
        <w:pStyle w:val="tekstprokuratury"/>
      </w:pPr>
      <w:r w:rsidRPr="004466F1">
        <w:t>Po drugie, decydujące znaczenie może mieć zakorzenione wśród prok</w:t>
      </w:r>
      <w:r w:rsidRPr="004466F1">
        <w:t>u</w:t>
      </w:r>
      <w:r w:rsidRPr="004466F1">
        <w:t>ratorów od lat przekonanie, że „zaliczenie” wyroku uniewinniającego odbi</w:t>
      </w:r>
      <w:r w:rsidRPr="004466F1">
        <w:t>e</w:t>
      </w:r>
      <w:r w:rsidRPr="004466F1">
        <w:t>rane jest jako spektakularna porażka prokuratury. Ponieważ przepisy o p</w:t>
      </w:r>
      <w:r w:rsidRPr="004466F1">
        <w:t>o</w:t>
      </w:r>
      <w:r w:rsidRPr="004466F1">
        <w:t>stępowaniu przygotowawczym w nowym brzmieniu nie wykluczają „proc</w:t>
      </w:r>
      <w:r w:rsidRPr="004466F1">
        <w:t>e</w:t>
      </w:r>
      <w:r w:rsidRPr="004466F1">
        <w:t>dowania po staremu”, a więc przeprowadzania wszystkich dostępnych d</w:t>
      </w:r>
      <w:r w:rsidRPr="004466F1">
        <w:t>o</w:t>
      </w:r>
      <w:r w:rsidRPr="004466F1">
        <w:t>wodów w postępowaniu przygotowawczym i ich protokolarnego utrwal</w:t>
      </w:r>
      <w:r w:rsidRPr="004466F1">
        <w:t>a</w:t>
      </w:r>
      <w:r w:rsidRPr="004466F1">
        <w:t>nia, warto będzie być może zastanowić się nad celowością takiego procedow</w:t>
      </w:r>
      <w:r w:rsidRPr="004466F1">
        <w:t>a</w:t>
      </w:r>
      <w:r w:rsidRPr="004466F1">
        <w:t>nia w sytuacji, w której ograniczone będą procesowe możliwości wykorz</w:t>
      </w:r>
      <w:r w:rsidRPr="004466F1">
        <w:t>y</w:t>
      </w:r>
      <w:r w:rsidRPr="004466F1">
        <w:t>stania dowodów przeprowadzonych przed wniesieniem aktu oskarżenia w</w:t>
      </w:r>
      <w:r w:rsidR="00821F40">
        <w:t> </w:t>
      </w:r>
      <w:r w:rsidRPr="004466F1">
        <w:t>postępowaniu przed sądem. Wartościowanie każdego uniewinnienia jako porażki prokuratury, być może znajdujące uzasadnienie w modelu funkcj</w:t>
      </w:r>
      <w:r w:rsidRPr="004466F1">
        <w:t>o</w:t>
      </w:r>
      <w:r w:rsidRPr="004466F1">
        <w:t>nującym obecnie, żadną miarą nie da się pogodzić z nowym. Model ów z</w:t>
      </w:r>
      <w:r w:rsidRPr="004466F1">
        <w:t>a</w:t>
      </w:r>
      <w:r w:rsidRPr="004466F1">
        <w:t>kłada bowiem wnoszenie aktów oskarżenia do sądu na zdecydowanie o</w:t>
      </w:r>
      <w:r w:rsidRPr="004466F1">
        <w:t>d</w:t>
      </w:r>
      <w:r w:rsidRPr="004466F1">
        <w:t xml:space="preserve">miennym poziomie ustaleń faktycznych niż obecny. Skoro dowody – w lwiej </w:t>
      </w:r>
      <w:r w:rsidRPr="004466F1">
        <w:lastRenderedPageBreak/>
        <w:t>ich części – mają być przeprowadzane dopiero na rozprawie, jest oczywiste, że skarga oskarżycielska będzie jedynie wyrazem podejrzenia (choćby ust</w:t>
      </w:r>
      <w:r w:rsidRPr="004466F1">
        <w:t>a</w:t>
      </w:r>
      <w:r w:rsidRPr="004466F1">
        <w:t>lonego operacyjnie) popełnienia przestępstwa, które to podejrzenie ma się weryfikować w kontradyktoryjnym postępowaniu dowodowym przed sądem. W rezultacie, wniesienie aktu oskarżenia w znacznie mniejszym stopniu niż obecnie powinno stygmatyzować oskarżonych, a porażka prokuratury w w</w:t>
      </w:r>
      <w:r w:rsidRPr="004466F1">
        <w:t>y</w:t>
      </w:r>
      <w:r w:rsidRPr="004466F1">
        <w:t>niku niepotwierdzenia materiałem dowodowym podejrzenia tkwiącego u</w:t>
      </w:r>
      <w:r w:rsidR="00821F40">
        <w:t> </w:t>
      </w:r>
      <w:r w:rsidRPr="004466F1">
        <w:t>podstaw skargi oskarżycielskiej nie będzie mogła obciążać autorów skarg oskarżycielskich. Procentowy wzrost ilości uniewinnień trzeba będzie włożyć na karb odmienności modelu postępowania, a nie niewydolności aparatu ścigania i aparatu oskarżycielskiego. Muszą zatem w sposób diametralny ulec zmianie kryteria oceny jakości pracy prokuratorów, co już jednak wybi</w:t>
      </w:r>
      <w:r w:rsidRPr="004466F1">
        <w:t>e</w:t>
      </w:r>
      <w:r w:rsidRPr="00821F40">
        <w:rPr>
          <w:spacing w:val="-2"/>
        </w:rPr>
        <w:t xml:space="preserve">ga poza materię procesową, której dotyczy nowela z </w:t>
      </w:r>
      <w:r w:rsidR="00325951" w:rsidRPr="00821F40">
        <w:rPr>
          <w:spacing w:val="-2"/>
        </w:rPr>
        <w:t xml:space="preserve">dnia </w:t>
      </w:r>
      <w:r w:rsidRPr="00821F40">
        <w:rPr>
          <w:spacing w:val="-2"/>
        </w:rPr>
        <w:t>27 września 2013</w:t>
      </w:r>
      <w:r w:rsidRPr="004466F1">
        <w:t xml:space="preserve"> r.</w:t>
      </w:r>
    </w:p>
    <w:p w:rsidR="00D45825" w:rsidRPr="004466F1" w:rsidRDefault="00D45825" w:rsidP="004466F1">
      <w:pPr>
        <w:pStyle w:val="tekstprokuratury"/>
      </w:pPr>
      <w:r w:rsidRPr="004466F1">
        <w:t>Po trzecie, prokuratorskie poczucie odpowiedzialności za wynik pr</w:t>
      </w:r>
      <w:r w:rsidRPr="004466F1">
        <w:t>o</w:t>
      </w:r>
      <w:r w:rsidRPr="004466F1">
        <w:t>cesu, które wszak</w:t>
      </w:r>
      <w:r w:rsidR="004466F1">
        <w:t xml:space="preserve"> </w:t>
      </w:r>
      <w:r w:rsidRPr="004466F1">
        <w:t>wpisane jest w kontradyktoryjny model postępowania sądow</w:t>
      </w:r>
      <w:r w:rsidRPr="004466F1">
        <w:t>e</w:t>
      </w:r>
      <w:r w:rsidRPr="004466F1">
        <w:t>go, skłaniać może prokuratorów do skrupulatnego weryfikowania p</w:t>
      </w:r>
      <w:r w:rsidRPr="004466F1">
        <w:t>o</w:t>
      </w:r>
      <w:r w:rsidRPr="004466F1">
        <w:t>dejrzeń stanowiących podstawę wszczęcia postępowania przygotowawczego. Dot</w:t>
      </w:r>
      <w:r w:rsidRPr="004466F1">
        <w:t>y</w:t>
      </w:r>
      <w:r w:rsidRPr="004466F1">
        <w:t>czyć to może nie tylko dowodów z przesłuchania świadków, którzy – jak uczy doświadczenie – często zmieniają treść swoich zeznań, a zani</w:t>
      </w:r>
      <w:r w:rsidRPr="004466F1">
        <w:t>e</w:t>
      </w:r>
      <w:r w:rsidRPr="004466F1">
        <w:t>chanie przeprowadzenia formalnego przesłuchania może skończyć się dla prz</w:t>
      </w:r>
      <w:r w:rsidRPr="004466F1">
        <w:t>y</w:t>
      </w:r>
      <w:r w:rsidRPr="004466F1">
        <w:t>szłego oskarżyciela utratą, niejednokrotnie kluczowego</w:t>
      </w:r>
      <w:r w:rsidR="00B24E4E">
        <w:t>,</w:t>
      </w:r>
      <w:r w:rsidRPr="004466F1">
        <w:t xml:space="preserve"> dowodu. Jest także wiele dowodów, które muszą być przeprowadzone bezpośrednio po pope</w:t>
      </w:r>
      <w:r w:rsidRPr="004466F1">
        <w:t>ł</w:t>
      </w:r>
      <w:r w:rsidRPr="004466F1">
        <w:t>nieniu inkryminowanego czynu, albowiem upływający czas zaciera d</w:t>
      </w:r>
      <w:r w:rsidRPr="004466F1">
        <w:t>a</w:t>
      </w:r>
      <w:r w:rsidRPr="004466F1">
        <w:t>jące się wykorzystać ślady, względnie wręcz czyni dowód bezużytecznym. Z a</w:t>
      </w:r>
      <w:r w:rsidRPr="004466F1">
        <w:t>r</w:t>
      </w:r>
      <w:r w:rsidRPr="004466F1">
        <w:t>gumentem tego rodzaju trudno polemizować. Jedyna sensowna perspekt</w:t>
      </w:r>
      <w:r w:rsidRPr="004466F1">
        <w:t>y</w:t>
      </w:r>
      <w:r w:rsidRPr="004466F1">
        <w:t>wa, która powinna być tu wzięta pod uwagę, to dążenie do maksymalnego skrócenia postępowania przygotowawczego poprzez ograniczenie go do planowania kierunku, w jakim prezentowana będzie argumentacja na ro</w:t>
      </w:r>
      <w:r w:rsidRPr="004466F1">
        <w:t>z</w:t>
      </w:r>
      <w:r w:rsidRPr="004466F1">
        <w:t>prawie sądowej, a w rezultacie skrócenie okresu, w którym potencjalnie m</w:t>
      </w:r>
      <w:r w:rsidRPr="004466F1">
        <w:t>o</w:t>
      </w:r>
      <w:r w:rsidRPr="004466F1">
        <w:t>głyby zatrzeć się ślady, w tym ślady pamięciowe.</w:t>
      </w:r>
    </w:p>
    <w:p w:rsidR="00D45825" w:rsidRPr="004466F1" w:rsidRDefault="00D45825" w:rsidP="004466F1">
      <w:pPr>
        <w:pStyle w:val="tekstprokuratury"/>
      </w:pPr>
      <w:r w:rsidRPr="004466F1">
        <w:t>Po czwarte, nie tylko od organów prowadzących postępowanie przygot</w:t>
      </w:r>
      <w:r w:rsidRPr="004466F1">
        <w:t>o</w:t>
      </w:r>
      <w:r w:rsidRPr="004466F1">
        <w:t>wawcze zależy ostatecznie zakres postępowania dowodowego w tej fazie procesu. Do powiedzenia mają też coś strony procesowe, które są wszak uprawnione do przejawiania inicjatywy dowodowej w tej fazie proc</w:t>
      </w:r>
      <w:r w:rsidRPr="004466F1">
        <w:t>e</w:t>
      </w:r>
      <w:r w:rsidRPr="004466F1">
        <w:t>su, a ich wnioski dowodowe mogą być oddalane jedynie wobec stwierdzenia prz</w:t>
      </w:r>
      <w:r w:rsidRPr="004466F1">
        <w:t>y</w:t>
      </w:r>
      <w:r w:rsidRPr="004466F1">
        <w:t>najmniej jednej z podstaw wyczerpująco wymienionych w art. 170 § 1 k.p.k. Nowy model zakłada, co prawda, rozszerzenie możliwości wprow</w:t>
      </w:r>
      <w:r w:rsidRPr="004466F1">
        <w:t>a</w:t>
      </w:r>
      <w:r w:rsidRPr="004466F1">
        <w:t>dzania do procesu dowodów prywatnych (por. art. 393 § 3 k.p.k.), niemniej nie oferuje organom postępowania przygotowawczego jakichś dodatkowych możliwości odcinania się od inicjatywy dowodowej obrony próbującej po</w:t>
      </w:r>
      <w:r w:rsidRPr="004466F1">
        <w:t>d</w:t>
      </w:r>
      <w:r w:rsidRPr="004466F1">
        <w:t>ważyć tezy oskarżenia jeszcze przed wniesieniem aktu oskarżenia. Być m</w:t>
      </w:r>
      <w:r w:rsidRPr="004466F1">
        <w:t>o</w:t>
      </w:r>
      <w:r w:rsidRPr="004466F1">
        <w:t>że,</w:t>
      </w:r>
      <w:r w:rsidR="004466F1">
        <w:t xml:space="preserve"> </w:t>
      </w:r>
      <w:r w:rsidRPr="004466F1">
        <w:t>zajdzie więc konieczność nieco odmiennej niż obecna interpretacji podstaw oddal</w:t>
      </w:r>
      <w:r w:rsidRPr="004466F1">
        <w:t>e</w:t>
      </w:r>
      <w:r w:rsidRPr="004466F1">
        <w:lastRenderedPageBreak/>
        <w:t>nia wniosków dowodowych z uwzględnieniem celu, jakiemu służyć ma p</w:t>
      </w:r>
      <w:r w:rsidRPr="004466F1">
        <w:t>o</w:t>
      </w:r>
      <w:r w:rsidRPr="004466F1">
        <w:t>stępowanie przygotowawcze.</w:t>
      </w:r>
    </w:p>
    <w:p w:rsidR="00D45825" w:rsidRPr="004466F1" w:rsidRDefault="00D45825" w:rsidP="004466F1">
      <w:pPr>
        <w:pStyle w:val="tekstprokuratury"/>
      </w:pPr>
      <w:r w:rsidRPr="004466F1">
        <w:t>Po piąte, dla zakresu czynności dowodowych w postępowaniu przygot</w:t>
      </w:r>
      <w:r w:rsidRPr="004466F1">
        <w:t>o</w:t>
      </w:r>
      <w:r w:rsidRPr="004466F1">
        <w:t>wawczym może mieć istotne znaczenie perspektywa uzyskania w spr</w:t>
      </w:r>
      <w:r w:rsidRPr="004466F1">
        <w:t>a</w:t>
      </w:r>
      <w:r w:rsidRPr="004466F1">
        <w:t>wie skazania w trybie konsensualnym. Nietrudno bowiem zauważyć, że w obu znanych nam tego rodzaju trybach przesłanką wydania wyroku skazuj</w:t>
      </w:r>
      <w:r w:rsidRPr="004466F1">
        <w:t>ą</w:t>
      </w:r>
      <w:r w:rsidRPr="004466F1">
        <w:t>cego bez przeprowadzenia rozprawy (art. 335 k.p.k.), względnie bez przeprow</w:t>
      </w:r>
      <w:r w:rsidRPr="004466F1">
        <w:t>a</w:t>
      </w:r>
      <w:r w:rsidRPr="004466F1">
        <w:t>dzenia postępowania dowodowego na rozprawie (art. 387 § 2 k.p.k.), jest brak wątpliwości co do okoliczności popełnienia przestępstwa. Przy uwzględnieniu nowego modelu procesu musi zrodzić się pytanie, na czym sąd ma oprzeć takie przekonanie, skoro postępowanie przygotowawcze ma być zredukowane, a w postępowaniu przed sądem dowodów już się nie przeprowadza. Problem ten szczególnie jaskrawo rysuje się w odniesieniu do instytucji skazania bez rozprawy. Prokurator składa bowiem wniosek o</w:t>
      </w:r>
      <w:r w:rsidR="00821F40">
        <w:t> </w:t>
      </w:r>
      <w:r w:rsidRPr="004466F1">
        <w:t>wydanie wyroku skazującego, załączając go do aktu oskarżenia (art. 335 §</w:t>
      </w:r>
      <w:r w:rsidR="002A25B7">
        <w:t> </w:t>
      </w:r>
      <w:r w:rsidRPr="004466F1">
        <w:t>1 k.p.k.), a sąd – nie znajdując możliwości jego uwzględnienia – kieruje sprawę do rozpoznania na zasadach ogólnych (art. 343 § 7 k.p.k.). Prokur</w:t>
      </w:r>
      <w:r w:rsidRPr="004466F1">
        <w:t>a</w:t>
      </w:r>
      <w:r w:rsidRPr="004466F1">
        <w:t>tor będzie w tej sytuacji z pewnością dążyć do tego, aby pomimo zarysow</w:t>
      </w:r>
      <w:r w:rsidRPr="004466F1">
        <w:t>a</w:t>
      </w:r>
      <w:r w:rsidRPr="004466F1">
        <w:t>nia się możliwości konsensualnego zakończenia postępowania, przeprow</w:t>
      </w:r>
      <w:r w:rsidRPr="004466F1">
        <w:t>a</w:t>
      </w:r>
      <w:r w:rsidRPr="004466F1">
        <w:t>dzić jednak stosunkowo szerokie postępowanie dowodowe na wypadek skier</w:t>
      </w:r>
      <w:r w:rsidRPr="004466F1">
        <w:t>o</w:t>
      </w:r>
      <w:r w:rsidRPr="004466F1">
        <w:t>wania sprawy na rozprawę. Pewnie nie bez racji wskazuje się, że po wejściu w życie noweli wrześniowej możliwe jest ukształtowanie się dwóch różnych „ścieżek” postępowania dowodowego w fazie poprzedzającej p</w:t>
      </w:r>
      <w:r w:rsidRPr="004466F1">
        <w:t>o</w:t>
      </w:r>
      <w:r w:rsidRPr="004466F1">
        <w:t>stępowanie przed sądem. Paradoksalnie – prokuratorzy mogą dążyć do przeprowadzenia w sposób bardziej wszechstronny postępowania dowod</w:t>
      </w:r>
      <w:r w:rsidRPr="004466F1">
        <w:t>o</w:t>
      </w:r>
      <w:r w:rsidRPr="004466F1">
        <w:t>wego w spr</w:t>
      </w:r>
      <w:r w:rsidRPr="004466F1">
        <w:t>a</w:t>
      </w:r>
      <w:r w:rsidRPr="004466F1">
        <w:t>wach „konsensualnych”, by przekonać sąd o braku wątpliwości co do okoliczności popełnienia przestępstwa przez oskarżonego, jednocz</w:t>
      </w:r>
      <w:r w:rsidRPr="004466F1">
        <w:t>e</w:t>
      </w:r>
      <w:r w:rsidRPr="004466F1">
        <w:t>śnie prz</w:t>
      </w:r>
      <w:r w:rsidRPr="004466F1">
        <w:t>e</w:t>
      </w:r>
      <w:r w:rsidRPr="004466F1">
        <w:t>prowadzając zredukowane postępowania w sprawach, które trafią na rozprawę, na której będzie przeprowadzone pełne postępowanie dow</w:t>
      </w:r>
      <w:r w:rsidRPr="004466F1">
        <w:t>o</w:t>
      </w:r>
      <w:r w:rsidRPr="004466F1">
        <w:t>dowe. Taki scenariusz z pewnością nie był brany pod uwagę przez twórców reformy. Wydaje się, że biorąc pod uwagę uwarunkowania systemowe, trz</w:t>
      </w:r>
      <w:r w:rsidRPr="004466F1">
        <w:t>e</w:t>
      </w:r>
      <w:r w:rsidRPr="004466F1">
        <w:t>ba dopuścić możliwość nieco odmiennej interpretacji przesłanek uwzglę</w:t>
      </w:r>
      <w:r w:rsidRPr="004466F1">
        <w:t>d</w:t>
      </w:r>
      <w:r w:rsidRPr="004466F1">
        <w:t>nienia inicjatyw konsensualnych. W szczególności, wobec uwarunkowanego systemowo ograniczenia postępowania dowodowego na etapie poprzedz</w:t>
      </w:r>
      <w:r w:rsidRPr="004466F1">
        <w:t>a</w:t>
      </w:r>
      <w:r w:rsidRPr="004466F1">
        <w:t xml:space="preserve">jącym wniesienie oskarżenia, należałoby – jak się wydaje </w:t>
      </w:r>
      <w:r w:rsidR="004466F1">
        <w:t xml:space="preserve">– </w:t>
      </w:r>
      <w:r w:rsidRPr="004466F1">
        <w:t>większą wagę wiązać z wolą oskarżonego poddania się odpowiedzialności na określonych warunkach, która to wola powinna – w ograniczonym choćby zakresie – z</w:t>
      </w:r>
      <w:r w:rsidRPr="004466F1">
        <w:t>a</w:t>
      </w:r>
      <w:r w:rsidRPr="004466F1">
        <w:t>stąpić materiał dowodowy gromadzony w celu wykazania tego, co oskarżony akceptuje</w:t>
      </w:r>
      <w:r w:rsidRPr="004466F1">
        <w:rPr>
          <w:rStyle w:val="Odwoanieprzypisudolnego"/>
          <w:rFonts w:ascii="Arial" w:hAnsi="Arial" w:cs="Arial"/>
          <w:szCs w:val="21"/>
        </w:rPr>
        <w:footnoteReference w:id="6"/>
      </w:r>
      <w:r w:rsidRPr="004466F1">
        <w:t>.</w:t>
      </w:r>
    </w:p>
    <w:p w:rsidR="00D45825" w:rsidRPr="004466F1" w:rsidRDefault="00D45825" w:rsidP="004466F1">
      <w:pPr>
        <w:pStyle w:val="tekstprokuratury"/>
      </w:pPr>
      <w:r w:rsidRPr="004466F1">
        <w:lastRenderedPageBreak/>
        <w:t>Jak z powyższego wynika, wobec każdego z pojawiających się argume</w:t>
      </w:r>
      <w:r w:rsidRPr="004466F1">
        <w:t>n</w:t>
      </w:r>
      <w:r w:rsidRPr="004466F1">
        <w:t>tów można przedstawić kontrargumenty i nowo rysujące się kierunki wykła</w:t>
      </w:r>
      <w:r w:rsidRPr="004466F1">
        <w:t>d</w:t>
      </w:r>
      <w:r w:rsidRPr="004466F1">
        <w:t>ni systemowej, które przynajmniej częściowo mogą znosić obawy o pow</w:t>
      </w:r>
      <w:r w:rsidRPr="004466F1">
        <w:t>o</w:t>
      </w:r>
      <w:r w:rsidRPr="004466F1">
        <w:t>dzenie reformy na odcinku najsłabszego jej ogniwa, za jakie uznawane jest postępowanie przygotowawcze. Nie neutralizuje to jednak niebezpiecze</w:t>
      </w:r>
      <w:r w:rsidRPr="004466F1">
        <w:t>ń</w:t>
      </w:r>
      <w:r w:rsidRPr="004466F1">
        <w:t xml:space="preserve">stwa, że postępowania przygotowawcze toczyć się będą „po staremu”, zwłaszcza że w gruncie rzeczy – jak wyżej już wspomniano </w:t>
      </w:r>
      <w:r w:rsidR="004466F1">
        <w:t>–</w:t>
      </w:r>
      <w:r w:rsidRPr="004466F1">
        <w:t xml:space="preserve"> nowe przepisy wcale tego nie wykluczają. Powstaje w związku z tym pytanie, czy wykorz</w:t>
      </w:r>
      <w:r w:rsidRPr="004466F1">
        <w:t>y</w:t>
      </w:r>
      <w:r w:rsidRPr="004466F1">
        <w:t xml:space="preserve">stując relatywnie długi przecież okres </w:t>
      </w:r>
      <w:r w:rsidRPr="004466F1">
        <w:rPr>
          <w:i/>
        </w:rPr>
        <w:t>vacatio legis</w:t>
      </w:r>
      <w:r w:rsidR="00483DD4" w:rsidRPr="00483DD4">
        <w:rPr>
          <w:i/>
          <w:sz w:val="4"/>
          <w:szCs w:val="4"/>
        </w:rPr>
        <w:t xml:space="preserve"> </w:t>
      </w:r>
      <w:r w:rsidRPr="00483DD4">
        <w:rPr>
          <w:rStyle w:val="Odwoanieprzypisudolnego"/>
          <w:rFonts w:ascii="Arial" w:hAnsi="Arial" w:cs="Arial"/>
          <w:szCs w:val="21"/>
        </w:rPr>
        <w:footnoteReference w:id="7"/>
      </w:r>
      <w:r w:rsidRPr="00483DD4">
        <w:t xml:space="preserve">, </w:t>
      </w:r>
      <w:r w:rsidRPr="004466F1">
        <w:t>nie należałoby podjąć dalszej inicjatywy legislacyjnej, której celem byłoby urealnienie celu, któremu służyć ma reforma. Być może, postępowanie przygotowawcze powinno być przebudowane zasadniczo. Tego rodzaju przebudowa musi być jednak w</w:t>
      </w:r>
      <w:r w:rsidRPr="004466F1">
        <w:t>i</w:t>
      </w:r>
      <w:r w:rsidRPr="004466F1">
        <w:t>dziana w dalszej perspektywie i musi uwzględniać pracochłonne prace st</w:t>
      </w:r>
      <w:r w:rsidRPr="004466F1">
        <w:t>u</w:t>
      </w:r>
      <w:r w:rsidRPr="004466F1">
        <w:t xml:space="preserve">dyjne, w tym prawnoporównawcze. </w:t>
      </w:r>
    </w:p>
    <w:p w:rsidR="00D45825" w:rsidRPr="004466F1" w:rsidRDefault="00D45825" w:rsidP="00325951">
      <w:pPr>
        <w:pStyle w:val="podtytulprokuratury"/>
      </w:pPr>
      <w:r w:rsidRPr="004466F1">
        <w:t>Część II – Janusz Śliwa</w:t>
      </w:r>
    </w:p>
    <w:p w:rsidR="00D45825" w:rsidRPr="004466F1" w:rsidRDefault="00D45825" w:rsidP="004466F1">
      <w:pPr>
        <w:pStyle w:val="tekstprokuratury"/>
      </w:pPr>
      <w:r w:rsidRPr="004466F1">
        <w:t>Pomysł na dwugłos profesora i prokuratora w sprawie zmian w postęp</w:t>
      </w:r>
      <w:r w:rsidRPr="004466F1">
        <w:t>o</w:t>
      </w:r>
      <w:r w:rsidRPr="004466F1">
        <w:t>waniu przygotowawczym wydaje się być obliczony na konfrontację p</w:t>
      </w:r>
      <w:r w:rsidRPr="004466F1">
        <w:t>o</w:t>
      </w:r>
      <w:r w:rsidRPr="004466F1">
        <w:t>glądów wynikającą z odmiennych perspektyw patrzenia na rzeczywistość polskiego procesu karnego. Nie od dziś wiadomo, że często punkt widzenia zależy od punktu siedzenia. Zaproszenie do tego przedsięwzięcia odbieram jednak nie w optyce konfrontacji poglądów, ale w celu podkreślenia potrzeby prow</w:t>
      </w:r>
      <w:r w:rsidRPr="004466F1">
        <w:t>a</w:t>
      </w:r>
      <w:r w:rsidRPr="004466F1">
        <w:t>dzenia dyskusji, której wnioski pozwolą wypracować lepsze zrozumienie z</w:t>
      </w:r>
      <w:r w:rsidRPr="004466F1">
        <w:t>a</w:t>
      </w:r>
      <w:r w:rsidRPr="004466F1">
        <w:t>łożeń reformy i trafniejsze stosowanie zmienionych przepisów. Działając w</w:t>
      </w:r>
      <w:r w:rsidR="00821F40">
        <w:t> </w:t>
      </w:r>
      <w:r w:rsidRPr="004466F1">
        <w:t>myśl zasady, że im więcej będzie przemyśleń przed zastosowaniem ko</w:t>
      </w:r>
      <w:r w:rsidRPr="004466F1">
        <w:t>n</w:t>
      </w:r>
      <w:r w:rsidRPr="004466F1">
        <w:t>kretnych nowych elementów w modelu postępowania przygotowawczego – tym łatwiej później bronić przyjętej praktyki, chcę zaprezentować kilka uwag, które z pewnością obciążone są spojrzeniem na proces z ławy po prawej stronie stołu sędziowskiego.</w:t>
      </w:r>
    </w:p>
    <w:p w:rsidR="00D45825" w:rsidRPr="00821F40" w:rsidRDefault="00D45825" w:rsidP="004466F1">
      <w:pPr>
        <w:pStyle w:val="tekstprokuratury"/>
        <w:rPr>
          <w:spacing w:val="-4"/>
        </w:rPr>
      </w:pPr>
      <w:r w:rsidRPr="004466F1">
        <w:t>Pan profesor Piotr Hofmański wytyczył pole dyskusji</w:t>
      </w:r>
      <w:r w:rsidR="008B64EB">
        <w:t>,</w:t>
      </w:r>
      <w:r w:rsidRPr="004466F1">
        <w:t xml:space="preserve"> wskazując pięć elementów, które uznać należy za kluczowe dla dyskusji o nowym modelu postępowania przygotowawczego.</w:t>
      </w:r>
      <w:r w:rsidR="004466F1">
        <w:t xml:space="preserve"> </w:t>
      </w:r>
      <w:r w:rsidRPr="004466F1">
        <w:t>Mają one zostać poddane oglądowi z</w:t>
      </w:r>
      <w:r w:rsidR="00821F40">
        <w:t> </w:t>
      </w:r>
      <w:r w:rsidRPr="004466F1">
        <w:t>dwóch różnych perspektyw – teoretycznej i praktycznej, z uwzględnieniem napięć</w:t>
      </w:r>
      <w:r w:rsidR="008B64EB">
        <w:t>,</w:t>
      </w:r>
      <w:r w:rsidRPr="004466F1">
        <w:t xml:space="preserve"> jakie ujawniły się w dyskusjach środowiskowych, prowadzonych w</w:t>
      </w:r>
      <w:r w:rsidR="00821F40">
        <w:t> </w:t>
      </w:r>
      <w:r w:rsidRPr="004466F1">
        <w:t xml:space="preserve">następstwie szczegółowych analiz przepisów oczekujących na wejście </w:t>
      </w:r>
      <w:r w:rsidRPr="00821F40">
        <w:rPr>
          <w:spacing w:val="-4"/>
        </w:rPr>
        <w:t>w</w:t>
      </w:r>
      <w:r w:rsidR="00821F40" w:rsidRPr="00821F40">
        <w:rPr>
          <w:spacing w:val="-4"/>
        </w:rPr>
        <w:t> </w:t>
      </w:r>
      <w:r w:rsidRPr="00821F40">
        <w:rPr>
          <w:spacing w:val="-4"/>
        </w:rPr>
        <w:t>życie z dniem 1 lipca 2015 r. W największym skrócie zagadnienia te dot</w:t>
      </w:r>
      <w:r w:rsidRPr="00821F40">
        <w:rPr>
          <w:spacing w:val="-4"/>
        </w:rPr>
        <w:t>y</w:t>
      </w:r>
      <w:r w:rsidRPr="00821F40">
        <w:rPr>
          <w:spacing w:val="-4"/>
        </w:rPr>
        <w:t>czą:</w:t>
      </w:r>
    </w:p>
    <w:p w:rsidR="00D45825" w:rsidRPr="004466F1" w:rsidRDefault="00D45825" w:rsidP="00325951">
      <w:pPr>
        <w:pStyle w:val="tekstprokuratury"/>
        <w:numPr>
          <w:ilvl w:val="0"/>
          <w:numId w:val="4"/>
        </w:numPr>
        <w:tabs>
          <w:tab w:val="clear" w:pos="1004"/>
          <w:tab w:val="num" w:pos="284"/>
        </w:tabs>
        <w:ind w:left="284" w:hanging="284"/>
      </w:pPr>
      <w:r w:rsidRPr="004466F1">
        <w:lastRenderedPageBreak/>
        <w:t>wpływu zmiany modelu postępowania na rozumienie zasady obiektyw</w:t>
      </w:r>
      <w:r w:rsidRPr="004466F1">
        <w:t>i</w:t>
      </w:r>
      <w:r w:rsidRPr="004466F1">
        <w:t>zmu,</w:t>
      </w:r>
    </w:p>
    <w:p w:rsidR="00D45825" w:rsidRPr="00821F40" w:rsidRDefault="00D45825" w:rsidP="00325951">
      <w:pPr>
        <w:pStyle w:val="tekstprokuratury"/>
        <w:numPr>
          <w:ilvl w:val="0"/>
          <w:numId w:val="4"/>
        </w:numPr>
        <w:tabs>
          <w:tab w:val="clear" w:pos="1004"/>
          <w:tab w:val="num" w:pos="284"/>
        </w:tabs>
        <w:ind w:left="284" w:hanging="284"/>
        <w:rPr>
          <w:spacing w:val="-2"/>
        </w:rPr>
      </w:pPr>
      <w:r w:rsidRPr="00821F40">
        <w:rPr>
          <w:spacing w:val="-2"/>
        </w:rPr>
        <w:t>zmiany znaczenia wyroku uniewinniającego dla oceny pracy oskarżyci</w:t>
      </w:r>
      <w:r w:rsidRPr="00821F40">
        <w:rPr>
          <w:spacing w:val="-2"/>
        </w:rPr>
        <w:t>e</w:t>
      </w:r>
      <w:r w:rsidRPr="00821F40">
        <w:rPr>
          <w:spacing w:val="-2"/>
        </w:rPr>
        <w:t>la,</w:t>
      </w:r>
    </w:p>
    <w:p w:rsidR="00D45825" w:rsidRPr="004466F1" w:rsidRDefault="00D45825" w:rsidP="00325951">
      <w:pPr>
        <w:pStyle w:val="tekstprokuratury"/>
        <w:numPr>
          <w:ilvl w:val="0"/>
          <w:numId w:val="4"/>
        </w:numPr>
        <w:tabs>
          <w:tab w:val="clear" w:pos="1004"/>
          <w:tab w:val="num" w:pos="284"/>
        </w:tabs>
        <w:ind w:left="284" w:hanging="284"/>
      </w:pPr>
      <w:r w:rsidRPr="004466F1">
        <w:t>zakresu czynności dowodowych w postępowaniu przygotowawczym przed skierowaniem aktu oskarżenia,</w:t>
      </w:r>
    </w:p>
    <w:p w:rsidR="00D45825" w:rsidRPr="004466F1" w:rsidRDefault="00D45825" w:rsidP="00325951">
      <w:pPr>
        <w:pStyle w:val="tekstprokuratury"/>
        <w:numPr>
          <w:ilvl w:val="0"/>
          <w:numId w:val="4"/>
        </w:numPr>
        <w:tabs>
          <w:tab w:val="clear" w:pos="1004"/>
          <w:tab w:val="num" w:pos="284"/>
        </w:tabs>
        <w:ind w:left="284" w:hanging="284"/>
      </w:pPr>
      <w:r w:rsidRPr="004466F1">
        <w:t>możliwości oddalenia wniosków dowodowych stron wobec stwie</w:t>
      </w:r>
      <w:r w:rsidRPr="004466F1">
        <w:t>r</w:t>
      </w:r>
      <w:r w:rsidRPr="004466F1">
        <w:t>dzenia, że cele postępowania przygotowawczego są zrealizow</w:t>
      </w:r>
      <w:r w:rsidRPr="004466F1">
        <w:t>a</w:t>
      </w:r>
      <w:r w:rsidRPr="004466F1">
        <w:t>ne,</w:t>
      </w:r>
    </w:p>
    <w:p w:rsidR="00D45825" w:rsidRPr="004466F1" w:rsidRDefault="00D45825" w:rsidP="00325951">
      <w:pPr>
        <w:pStyle w:val="tekstprokuratury"/>
        <w:numPr>
          <w:ilvl w:val="0"/>
          <w:numId w:val="4"/>
        </w:numPr>
        <w:tabs>
          <w:tab w:val="clear" w:pos="1004"/>
          <w:tab w:val="num" w:pos="284"/>
        </w:tabs>
        <w:ind w:left="284" w:hanging="284"/>
      </w:pPr>
      <w:r w:rsidRPr="004466F1">
        <w:t>zakresu czynności dowodowych w sprawach kwalifikujących się do z</w:t>
      </w:r>
      <w:r w:rsidRPr="004466F1">
        <w:t>a</w:t>
      </w:r>
      <w:r w:rsidRPr="004466F1">
        <w:t>kończenia w trybach konsensualnych.</w:t>
      </w:r>
      <w:r w:rsidR="004466F1">
        <w:t xml:space="preserve"> </w:t>
      </w:r>
    </w:p>
    <w:p w:rsidR="00D45825" w:rsidRPr="004466F1" w:rsidRDefault="00D45825" w:rsidP="004466F1">
      <w:pPr>
        <w:pStyle w:val="tekstprokuratury"/>
      </w:pPr>
      <w:r w:rsidRPr="004466F1">
        <w:t>Zanim jednak odniosę się do wybranych zagadnień szczegółowych, ni</w:t>
      </w:r>
      <w:r w:rsidRPr="004466F1">
        <w:t>e</w:t>
      </w:r>
      <w:r w:rsidRPr="004466F1">
        <w:t>jako na przedpolu swoich rozważań chciałbym przywołać ważne fakty z</w:t>
      </w:r>
      <w:r w:rsidR="00821F40">
        <w:t> </w:t>
      </w:r>
      <w:r w:rsidRPr="004466F1">
        <w:t>przebiegu reformy procedury karnej i złożyć pewną deklarację.</w:t>
      </w:r>
      <w:r w:rsidR="004466F1">
        <w:t xml:space="preserve"> </w:t>
      </w:r>
    </w:p>
    <w:p w:rsidR="00D45825" w:rsidRPr="004466F1" w:rsidRDefault="00D45825" w:rsidP="004466F1">
      <w:pPr>
        <w:pStyle w:val="tekstprokuratury"/>
      </w:pPr>
      <w:r w:rsidRPr="004466F1">
        <w:t>Na wstępie warto podkreślić, że projekt reformy procedury przygot</w:t>
      </w:r>
      <w:r w:rsidRPr="004466F1">
        <w:t>o</w:t>
      </w:r>
      <w:r w:rsidRPr="004466F1">
        <w:t>wany przez Komisję Kodyfikacyjną Prawa Karnego (późniejszy druk sejm</w:t>
      </w:r>
      <w:r w:rsidRPr="004466F1">
        <w:t>o</w:t>
      </w:r>
      <w:r w:rsidRPr="004466F1">
        <w:t>wy nr 870) w niewielkim zakresie przewidywał zmiany w części dotyczącej post</w:t>
      </w:r>
      <w:r w:rsidRPr="004466F1">
        <w:t>ę</w:t>
      </w:r>
      <w:r w:rsidRPr="004466F1">
        <w:t xml:space="preserve">powania przygotowawczego. Było to </w:t>
      </w:r>
      <w:r w:rsidR="004466F1">
        <w:t>–</w:t>
      </w:r>
      <w:r w:rsidRPr="004466F1">
        <w:t xml:space="preserve"> w moim odbiorze </w:t>
      </w:r>
      <w:r w:rsidR="004466F1">
        <w:t>–</w:t>
      </w:r>
      <w:r w:rsidRPr="004466F1">
        <w:t xml:space="preserve"> wynikiem</w:t>
      </w:r>
      <w:r w:rsidR="004466F1">
        <w:t xml:space="preserve"> </w:t>
      </w:r>
      <w:r w:rsidRPr="004466F1">
        <w:t>przek</w:t>
      </w:r>
      <w:r w:rsidRPr="004466F1">
        <w:t>o</w:t>
      </w:r>
      <w:r w:rsidRPr="004466F1">
        <w:t>nania, że to sztandarowa dla reformy zmiana modelu rozprawy sądowej w</w:t>
      </w:r>
      <w:r w:rsidR="00821F40">
        <w:t> </w:t>
      </w:r>
      <w:r w:rsidRPr="004466F1">
        <w:t>kierunku szerokiej kontradyktoryjności wymusi w perspektywie zmiany w</w:t>
      </w:r>
      <w:r w:rsidR="00821F40">
        <w:t> </w:t>
      </w:r>
      <w:r w:rsidRPr="004466F1">
        <w:t>przepisach regulujących postępowanie przygotowawcze. Drugim z wekt</w:t>
      </w:r>
      <w:r w:rsidRPr="004466F1">
        <w:t>o</w:t>
      </w:r>
      <w:r w:rsidRPr="004466F1">
        <w:t>rów dla przyszłej reformy tych przepisów miały być konsekwencje doko</w:t>
      </w:r>
      <w:r w:rsidRPr="004466F1">
        <w:t>ń</w:t>
      </w:r>
      <w:r w:rsidRPr="004466F1">
        <w:t>czenia zmian ustrojowych w prokuraturze. Było to spójne z odstąpieniem na początku prac Komisji od przygotowywania projektu nowego kodeksu post</w:t>
      </w:r>
      <w:r w:rsidRPr="004466F1">
        <w:t>ę</w:t>
      </w:r>
      <w:r w:rsidRPr="004466F1">
        <w:t>powania karnego i ograniczeniem się do obszernej nowelizacji. Jeżeli we</w:t>
      </w:r>
      <w:r w:rsidRPr="004466F1">
        <w:t>ź</w:t>
      </w:r>
      <w:r w:rsidRPr="004466F1">
        <w:t>mie się pod uwagę sposób przygotowania zmian zawartych w pierwotnym projekcie – obejmujący sz</w:t>
      </w:r>
      <w:r w:rsidRPr="004466F1">
        <w:t>e</w:t>
      </w:r>
      <w:r w:rsidRPr="004466F1">
        <w:t>roko zakrojoną diagnozę stanu polskiego procesu karnego, wyrażoną na poszczególnych konferencjach tematycznych</w:t>
      </w:r>
      <w:r w:rsidR="008B64EB">
        <w:t>,</w:t>
      </w:r>
      <w:r w:rsidRPr="004466F1">
        <w:t xml:space="preserve"> oraz dogłębną analizę wyników konsultacji środowiskowych – i zderzy się to z</w:t>
      </w:r>
      <w:r w:rsidR="00821F40">
        <w:t> </w:t>
      </w:r>
      <w:r w:rsidRPr="004466F1">
        <w:t>doraźnym wprowadz</w:t>
      </w:r>
      <w:r w:rsidRPr="004466F1">
        <w:t>a</w:t>
      </w:r>
      <w:r w:rsidRPr="004466F1">
        <w:t>niem zmian w przepisach dotyczących postępowania przygotowawczego już na etapie prac parlamentarnych, w dodatku pod pr</w:t>
      </w:r>
      <w:r w:rsidRPr="004466F1">
        <w:t>e</w:t>
      </w:r>
      <w:r w:rsidRPr="004466F1">
        <w:t>sją rozpoznawanego równolegle projektu poselskiego, proponującego mi</w:t>
      </w:r>
      <w:r w:rsidRPr="004466F1">
        <w:t>ę</w:t>
      </w:r>
      <w:r w:rsidRPr="004466F1">
        <w:t>dzy innymi wprowadzenie instytucji sędziego do spraw postępowania prz</w:t>
      </w:r>
      <w:r w:rsidRPr="004466F1">
        <w:t>y</w:t>
      </w:r>
      <w:r w:rsidRPr="004466F1">
        <w:t>gotowawczego, to staje się jasnym, że mogły w nowych zapisach norm</w:t>
      </w:r>
      <w:r w:rsidRPr="004466F1">
        <w:t>a</w:t>
      </w:r>
      <w:r w:rsidRPr="004466F1">
        <w:t>tywnych pojawić się nieścisłości, zagrażające skutecznemu przeprowadz</w:t>
      </w:r>
      <w:r w:rsidRPr="004466F1">
        <w:t>e</w:t>
      </w:r>
      <w:r w:rsidRPr="004466F1">
        <w:t>niu</w:t>
      </w:r>
      <w:r w:rsidR="002A25B7">
        <w:t xml:space="preserve"> </w:t>
      </w:r>
      <w:r w:rsidRPr="004466F1">
        <w:t>reformy. Jak się wydaje – świadomość ta znalazła swój wyraz – chocia</w:t>
      </w:r>
      <w:r w:rsidRPr="004466F1">
        <w:t>ż</w:t>
      </w:r>
      <w:r w:rsidRPr="004466F1">
        <w:t>by w</w:t>
      </w:r>
      <w:r w:rsidR="00821F40">
        <w:t> </w:t>
      </w:r>
      <w:r w:rsidRPr="004466F1">
        <w:t>potrzebie nowelizow</w:t>
      </w:r>
      <w:r w:rsidRPr="004466F1">
        <w:t>a</w:t>
      </w:r>
      <w:r w:rsidRPr="004466F1">
        <w:t>nia uchwalonych przepisów, jeszcze zanim wejdą w</w:t>
      </w:r>
      <w:r w:rsidR="00821F40">
        <w:t> </w:t>
      </w:r>
      <w:r w:rsidRPr="004466F1">
        <w:t>życie – co potwierdza aktualny przebieg procesu legislacyjnego nad rz</w:t>
      </w:r>
      <w:r w:rsidRPr="004466F1">
        <w:t>ą</w:t>
      </w:r>
      <w:r w:rsidRPr="004466F1">
        <w:t>dowym projektem zmian w kodeksie karnym i innymi ustawami (druk sejm</w:t>
      </w:r>
      <w:r w:rsidRPr="004466F1">
        <w:t>o</w:t>
      </w:r>
      <w:r w:rsidRPr="004466F1">
        <w:t>wy nr 2393).</w:t>
      </w:r>
    </w:p>
    <w:p w:rsidR="00D45825" w:rsidRPr="004466F1" w:rsidRDefault="00D45825" w:rsidP="004466F1">
      <w:pPr>
        <w:pStyle w:val="tekstprokuratury"/>
      </w:pPr>
      <w:r w:rsidRPr="00325951">
        <w:t>Chciałbym też jednoznacznie podkreślić, że jakkolwiek identyfikuję się z</w:t>
      </w:r>
      <w:r w:rsidR="00821F40">
        <w:t> </w:t>
      </w:r>
      <w:r w:rsidRPr="00325951">
        <w:t>założeniami reformy, nie podzielam optymizmu co do skuteczności osi</w:t>
      </w:r>
      <w:r w:rsidRPr="00325951">
        <w:t>ą</w:t>
      </w:r>
      <w:r w:rsidRPr="00325951">
        <w:t>gnięcia zamierzonego celu przez autora zapisu art. 297 § 1 pkt 5 k.p.k.</w:t>
      </w:r>
      <w:r w:rsidRPr="004466F1">
        <w:t xml:space="preserve"> W</w:t>
      </w:r>
      <w:r w:rsidR="00821F40">
        <w:t> </w:t>
      </w:r>
      <w:r w:rsidRPr="004466F1">
        <w:t>mojej ocenie poprzestanie na wskazaniu w tym przepisie, że cel post</w:t>
      </w:r>
      <w:r w:rsidRPr="004466F1">
        <w:t>ę</w:t>
      </w:r>
      <w:r w:rsidRPr="004466F1">
        <w:lastRenderedPageBreak/>
        <w:t>powania przygotowawczego ma się ograniczyć do zebrania, zabezpieczenia i utrw</w:t>
      </w:r>
      <w:r w:rsidRPr="004466F1">
        <w:t>a</w:t>
      </w:r>
      <w:r w:rsidRPr="004466F1">
        <w:t>lenia dowodów w zakresie niezbędnym do stwierdzenia zasadności aktu oskarżenia albo innego zakończenia postępowania – podobnie jak p</w:t>
      </w:r>
      <w:r w:rsidRPr="004466F1">
        <w:t>o</w:t>
      </w:r>
      <w:r w:rsidRPr="004466F1">
        <w:t>przednie zmiany w treści tego przepisu</w:t>
      </w:r>
      <w:r w:rsidR="008B64EB">
        <w:t>,</w:t>
      </w:r>
      <w:r w:rsidRPr="004466F1">
        <w:t xml:space="preserve"> samoistnie nie doprowadzi do isto</w:t>
      </w:r>
      <w:r w:rsidRPr="004466F1">
        <w:t>t</w:t>
      </w:r>
      <w:r w:rsidRPr="004466F1">
        <w:t>nych zmian w praktyce prowadzenia postępowań przygotowawczych. Zwłaszcza, że w § 2 tego przepisu pozostał nadal nakaz „dążenia do wyj</w:t>
      </w:r>
      <w:r w:rsidRPr="004466F1">
        <w:t>a</w:t>
      </w:r>
      <w:r w:rsidRPr="004466F1">
        <w:t>śnienia ok</w:t>
      </w:r>
      <w:r w:rsidRPr="004466F1">
        <w:t>o</w:t>
      </w:r>
      <w:r w:rsidRPr="004466F1">
        <w:t>liczności, które sprzyjały popełnieniu czynu”, chociaż uczciwie trzeba przyznać, że ma zostać usunięty po przyjęciu wspomnianego już pr</w:t>
      </w:r>
      <w:r w:rsidRPr="004466F1">
        <w:t>o</w:t>
      </w:r>
      <w:r w:rsidRPr="004466F1">
        <w:t>jektu rz</w:t>
      </w:r>
      <w:r w:rsidRPr="004466F1">
        <w:t>ą</w:t>
      </w:r>
      <w:r w:rsidRPr="004466F1">
        <w:t>dowego zmian w kodeksie karnym.</w:t>
      </w:r>
    </w:p>
    <w:p w:rsidR="00D45825" w:rsidRPr="004466F1" w:rsidRDefault="00D45825" w:rsidP="004466F1">
      <w:pPr>
        <w:pStyle w:val="tekstprokuratury"/>
      </w:pPr>
      <w:r w:rsidRPr="004466F1">
        <w:t>Na wstępie części pierwszej niniejszego tekstu znajduje się stwie</w:t>
      </w:r>
      <w:r w:rsidRPr="004466F1">
        <w:t>r</w:t>
      </w:r>
      <w:r w:rsidRPr="004466F1">
        <w:t>dzenie, które mnie głęboko poruszyło. Chodzi o zapis, który wskazuje, że prokurator przed wniesieniem aktu oskarżenia nie będzie już musiał „dok</w:t>
      </w:r>
      <w:r w:rsidRPr="004466F1">
        <w:t>o</w:t>
      </w:r>
      <w:r w:rsidRPr="004466F1">
        <w:t>nywać pełnej rekonstrukcji inkryminowanego zdarzenia, skoro oskarżenie formułowane jest jeszcze przed przeprowadzeniem dowodów, a w każdym razie po ni</w:t>
      </w:r>
      <w:r w:rsidRPr="004466F1">
        <w:t>e</w:t>
      </w:r>
      <w:r w:rsidRPr="004466F1">
        <w:t>kompletnym postępowaniu dowodowym”. Otóż, intencję ustawodawcy r</w:t>
      </w:r>
      <w:r w:rsidRPr="004466F1">
        <w:t>o</w:t>
      </w:r>
      <w:r w:rsidRPr="004466F1">
        <w:t>zumiałem zgoła inaczej – zwłaszcza w kontekście dyskusji prow</w:t>
      </w:r>
      <w:r w:rsidRPr="004466F1">
        <w:t>a</w:t>
      </w:r>
      <w:r w:rsidRPr="004466F1">
        <w:t>dzonych w</w:t>
      </w:r>
      <w:r w:rsidR="00821F40">
        <w:t> </w:t>
      </w:r>
      <w:r w:rsidRPr="004466F1">
        <w:t>toku prac nad reformą, sięgających nawet pomysłów wprowadzenia o</w:t>
      </w:r>
      <w:r w:rsidRPr="004466F1">
        <w:t>d</w:t>
      </w:r>
      <w:r w:rsidRPr="004466F1">
        <w:t>szkodowania za niesłuszne oskarżenie czy przedstawienie zarzutów – oskarżyciel publiczny, w duchu odpowiedzialności za skargę</w:t>
      </w:r>
      <w:r w:rsidR="008B64EB">
        <w:t>,</w:t>
      </w:r>
      <w:r w:rsidRPr="004466F1">
        <w:t xml:space="preserve"> reko</w:t>
      </w:r>
      <w:r w:rsidRPr="004466F1">
        <w:t>n</w:t>
      </w:r>
      <w:r w:rsidRPr="004466F1">
        <w:t>struuje zdarzenie, a przekonany o wersji sprawczej dotyczącej konkretnej osoby – podnosi wobec niej określony zarzut popełnienia przestępstwa. Po zweryf</w:t>
      </w:r>
      <w:r w:rsidRPr="004466F1">
        <w:t>i</w:t>
      </w:r>
      <w:r w:rsidRPr="004466F1">
        <w:t>kowaniu w niezbędnym zakresie linii obrony decyduje o wniesieniu skargi, z</w:t>
      </w:r>
      <w:r w:rsidR="00821F40">
        <w:t> </w:t>
      </w:r>
      <w:r w:rsidRPr="004466F1">
        <w:t>tym że nie musi formalnie przeprowadzić wszystkich dowodów w postęp</w:t>
      </w:r>
      <w:r w:rsidRPr="004466F1">
        <w:t>o</w:t>
      </w:r>
      <w:r w:rsidRPr="004466F1">
        <w:t>waniu przygotowawczym – może te mniej istotne, znając w przew</w:t>
      </w:r>
      <w:r w:rsidRPr="004466F1">
        <w:t>i</w:t>
      </w:r>
      <w:r w:rsidRPr="004466F1">
        <w:t>dywalnym zakresie ich treść – zawnioskować do przeprowadzenia dopiero przed s</w:t>
      </w:r>
      <w:r w:rsidRPr="004466F1">
        <w:t>ą</w:t>
      </w:r>
      <w:r w:rsidRPr="004466F1">
        <w:t>dem. Nie widzę w projektowanych zmianach ustawowych podstawy zwalni</w:t>
      </w:r>
      <w:r w:rsidRPr="004466F1">
        <w:t>a</w:t>
      </w:r>
      <w:r w:rsidRPr="004466F1">
        <w:t>jącej oskarżyci</w:t>
      </w:r>
      <w:r w:rsidRPr="004466F1">
        <w:t>e</w:t>
      </w:r>
      <w:r w:rsidRPr="004466F1">
        <w:t>la publicznego od odpowiedzialnego kierowania skargi, tj. po zasadniczym zrekonstruowaniu przebiegu zdarzenia i weryfikacji linii obrony. Swoje stanowisko opieram chociażby na niezmiennej treści art.</w:t>
      </w:r>
      <w:r w:rsidR="004466F1">
        <w:t xml:space="preserve"> </w:t>
      </w:r>
      <w:r w:rsidRPr="004466F1">
        <w:t xml:space="preserve">297 § 1 </w:t>
      </w:r>
      <w:r w:rsidR="00325951">
        <w:t>punkty</w:t>
      </w:r>
      <w:r w:rsidRPr="004466F1">
        <w:t xml:space="preserve"> 1</w:t>
      </w:r>
      <w:r w:rsidR="004466F1">
        <w:t>–</w:t>
      </w:r>
      <w:r w:rsidRPr="004466F1">
        <w:t>4 k.p.k. Zresztą</w:t>
      </w:r>
      <w:r w:rsidR="008B64EB">
        <w:t>,</w:t>
      </w:r>
      <w:r w:rsidRPr="004466F1">
        <w:t xml:space="preserve"> nawet sama treść nowego zapisu </w:t>
      </w:r>
      <w:r w:rsidR="008B64EB">
        <w:t>punktu</w:t>
      </w:r>
      <w:r w:rsidRPr="004466F1">
        <w:t xml:space="preserve"> 5 odw</w:t>
      </w:r>
      <w:r w:rsidRPr="004466F1">
        <w:t>o</w:t>
      </w:r>
      <w:r w:rsidRPr="004466F1">
        <w:t>łuje się do zasadności wniesienia aktu oskarżenia. Tak więc to prawda, że pismo procesowe nie będzie musiało zawierać</w:t>
      </w:r>
      <w:r w:rsidR="004466F1">
        <w:t xml:space="preserve"> </w:t>
      </w:r>
      <w:r w:rsidRPr="004466F1">
        <w:t>uzasadnienia jako odrę</w:t>
      </w:r>
      <w:r w:rsidRPr="004466F1">
        <w:t>b</w:t>
      </w:r>
      <w:r w:rsidRPr="004466F1">
        <w:t>nej części, ale sama decyzja o wniesieniu oskarżenia musi mieć uzasadni</w:t>
      </w:r>
      <w:r w:rsidRPr="004466F1">
        <w:t>e</w:t>
      </w:r>
      <w:r w:rsidRPr="004466F1">
        <w:t>nie w</w:t>
      </w:r>
      <w:r w:rsidR="008B64EB">
        <w:t> </w:t>
      </w:r>
      <w:r w:rsidRPr="004466F1">
        <w:t>wynikach postęp</w:t>
      </w:r>
      <w:r w:rsidRPr="004466F1">
        <w:t>o</w:t>
      </w:r>
      <w:r w:rsidRPr="004466F1">
        <w:t>wania przygotowawczego.</w:t>
      </w:r>
    </w:p>
    <w:p w:rsidR="00D45825" w:rsidRPr="004466F1" w:rsidRDefault="00D45825" w:rsidP="004466F1">
      <w:pPr>
        <w:pStyle w:val="tekstprokuratury"/>
      </w:pPr>
      <w:r w:rsidRPr="004466F1">
        <w:t>Warto też zauważyć, że zapis art. 297 § 1 pkt 5 k.p.k. ma swój cz</w:t>
      </w:r>
      <w:r w:rsidRPr="004466F1">
        <w:t>ę</w:t>
      </w:r>
      <w:r w:rsidRPr="004466F1">
        <w:t>ściowy pierwowzór w treści art. 325h k.p.k., zaś sama idea ograniczenia z</w:t>
      </w:r>
      <w:r w:rsidRPr="004466F1">
        <w:t>a</w:t>
      </w:r>
      <w:r w:rsidRPr="004466F1">
        <w:t>kresu postępowania przygotowawczego znajduje swoje aktualne odniesienie w</w:t>
      </w:r>
      <w:r w:rsidR="00821F40">
        <w:t> </w:t>
      </w:r>
      <w:r w:rsidRPr="004466F1">
        <w:t>treści art. 335 § 2 k.p.k. Realnie rzecz ujmując</w:t>
      </w:r>
      <w:r w:rsidR="008B64EB">
        <w:t>:</w:t>
      </w:r>
      <w:r w:rsidRPr="004466F1">
        <w:t xml:space="preserve"> obie przywołane konstru</w:t>
      </w:r>
      <w:r w:rsidRPr="004466F1">
        <w:t>k</w:t>
      </w:r>
      <w:r w:rsidRPr="004466F1">
        <w:t>cje mają ograniczone znaczenie w praktyce organów ścigania i wymiaru sprawiedliwości. Nikt ich jednak nie kojarzył w dotychczasowym modelu z</w:t>
      </w:r>
      <w:r w:rsidR="00821F40">
        <w:t> </w:t>
      </w:r>
      <w:r w:rsidRPr="004466F1">
        <w:t xml:space="preserve">ograniczeniem rozpoznania sprawy przez oskarżyciela publicznego przed wniesieniem skargi. Raczej interpretowane były jako ograniczenie ilościowe </w:t>
      </w:r>
      <w:r w:rsidRPr="004466F1">
        <w:lastRenderedPageBreak/>
        <w:t>w sytuacji pozwalającej na zakończenie postępowania przygotowawczego, ale podstawą zgody na takie ograniczenie było wystarczające wyjaśnienie sprawy, czyli zebranie właściwego jakościowo materiału dowodowego.</w:t>
      </w:r>
    </w:p>
    <w:p w:rsidR="00D45825" w:rsidRPr="004466F1" w:rsidRDefault="00D45825" w:rsidP="004466F1">
      <w:pPr>
        <w:pStyle w:val="tekstprokuratury"/>
      </w:pPr>
      <w:r w:rsidRPr="004466F1">
        <w:t>Pozostaję na stanowisku – przy niezmiennym poparciu dla kierunku zmian, umożliwiających przyspieszenie kierowania spraw do sądów – że oskarżyciel publiczny musi działać w sposób odpowiedzialny. Kierując akt oskarżenia przeciwko konkretnej osobie</w:t>
      </w:r>
      <w:r w:rsidR="008B64EB">
        <w:t>,</w:t>
      </w:r>
      <w:r w:rsidRPr="004466F1">
        <w:t xml:space="preserve"> musi być przekonany, że popełniła ona przestępstwo</w:t>
      </w:r>
      <w:r w:rsidR="008B64EB">
        <w:t>,</w:t>
      </w:r>
      <w:r w:rsidRPr="004466F1">
        <w:t xml:space="preserve"> jakie jej zarzucił – a nie jedynie zmierzać do dalszego wyjaśnienia sprawy przed sądem. Inaczej – mielibyśmy do czynienia nie z</w:t>
      </w:r>
      <w:r w:rsidR="008B64EB">
        <w:t> </w:t>
      </w:r>
      <w:r w:rsidRPr="004466F1">
        <w:t>dowodzeniem winy, ale jakąś formą śledztwa prowadzonego przed sądem, gdzie zamiast sędziego śledczego wprowadzony zostałby sąd śledczy. Tego wariantu w modelu postępowania przygotowawczego w świetle uchwalonych zmian przepisów k.p.k. nie potrafię zrekonstruować.</w:t>
      </w:r>
    </w:p>
    <w:p w:rsidR="00D45825" w:rsidRPr="00821F40" w:rsidRDefault="00D45825" w:rsidP="004466F1">
      <w:pPr>
        <w:pStyle w:val="tekstprokuratury"/>
        <w:rPr>
          <w:spacing w:val="-2"/>
        </w:rPr>
      </w:pPr>
      <w:r w:rsidRPr="004466F1">
        <w:t>Przechodząc do omówienia kwestii szczegółowych, wyrażam przekon</w:t>
      </w:r>
      <w:r w:rsidRPr="004466F1">
        <w:t>a</w:t>
      </w:r>
      <w:r w:rsidRPr="004466F1">
        <w:t>nie, że siłą projektowanej reformy w zakresie postępowania przygot</w:t>
      </w:r>
      <w:r w:rsidRPr="004466F1">
        <w:t>o</w:t>
      </w:r>
      <w:r w:rsidRPr="004466F1">
        <w:t>wawczego może okazać się takie odformalizowanie sposobu przeprow</w:t>
      </w:r>
      <w:r w:rsidRPr="004466F1">
        <w:t>a</w:t>
      </w:r>
      <w:r w:rsidRPr="004466F1">
        <w:t>dzania ustaleń przed skierowaniem aktu oskarżenia, które przekona organy prowadzące postępowanie do szybszego występowania ze skargą. Szy</w:t>
      </w:r>
      <w:r w:rsidRPr="004466F1">
        <w:t>b</w:t>
      </w:r>
      <w:r w:rsidRPr="004466F1">
        <w:t>szego niż obecnie, ale opartego o rzetelne ustalenia rekonstrukcyjne, zwi</w:t>
      </w:r>
      <w:r w:rsidRPr="004466F1">
        <w:t>ą</w:t>
      </w:r>
      <w:r w:rsidRPr="00821F40">
        <w:rPr>
          <w:spacing w:val="-2"/>
        </w:rPr>
        <w:t>zanego z weryfikacją linii obrony w niezbędnym zakresie – ale nadal zbud</w:t>
      </w:r>
      <w:r w:rsidRPr="00821F40">
        <w:rPr>
          <w:spacing w:val="-2"/>
        </w:rPr>
        <w:t>o</w:t>
      </w:r>
      <w:r w:rsidRPr="00821F40">
        <w:rPr>
          <w:spacing w:val="-2"/>
        </w:rPr>
        <w:t>wanego na przekonaniu, że dana osoba popełniła zarzucony czyn zabroni</w:t>
      </w:r>
      <w:r w:rsidRPr="00821F40">
        <w:rPr>
          <w:spacing w:val="-2"/>
        </w:rPr>
        <w:t>o</w:t>
      </w:r>
      <w:r w:rsidRPr="00821F40">
        <w:rPr>
          <w:spacing w:val="-2"/>
        </w:rPr>
        <w:t>ny.</w:t>
      </w:r>
    </w:p>
    <w:p w:rsidR="00D45825" w:rsidRPr="004466F1" w:rsidRDefault="00D45825" w:rsidP="004466F1">
      <w:pPr>
        <w:pStyle w:val="tekstprokuratury"/>
      </w:pPr>
      <w:r w:rsidRPr="004466F1">
        <w:t>Nie będzie to jednak dotyczyć wszystkich rodzajów postępowań, a pow</w:t>
      </w:r>
      <w:r w:rsidRPr="004466F1">
        <w:t>o</w:t>
      </w:r>
      <w:r w:rsidRPr="004466F1">
        <w:t>dzenie w tym zakresie jest uwarunkowane:</w:t>
      </w:r>
    </w:p>
    <w:p w:rsidR="00D45825" w:rsidRPr="004466F1" w:rsidRDefault="00D45825" w:rsidP="00325951">
      <w:pPr>
        <w:pStyle w:val="tekstprokuratury"/>
        <w:numPr>
          <w:ilvl w:val="0"/>
          <w:numId w:val="5"/>
        </w:numPr>
        <w:tabs>
          <w:tab w:val="clear" w:pos="1004"/>
          <w:tab w:val="num" w:pos="284"/>
        </w:tabs>
        <w:ind w:left="284" w:hanging="284"/>
      </w:pPr>
      <w:r w:rsidRPr="004466F1">
        <w:t>rodzajem przedmiotu rozpoznawanej sprawy i stosunkowo łatwym do o</w:t>
      </w:r>
      <w:r w:rsidRPr="004466F1">
        <w:t>d</w:t>
      </w:r>
      <w:r w:rsidRPr="004466F1">
        <w:t>tworzenia w oparciu o ustalone na wstępie środki dowodowe stanem fa</w:t>
      </w:r>
      <w:r w:rsidRPr="004466F1">
        <w:t>k</w:t>
      </w:r>
      <w:r w:rsidRPr="004466F1">
        <w:t>tycznym,</w:t>
      </w:r>
    </w:p>
    <w:p w:rsidR="00D45825" w:rsidRPr="004466F1" w:rsidRDefault="00D45825" w:rsidP="00325951">
      <w:pPr>
        <w:pStyle w:val="tekstprokuratury"/>
        <w:numPr>
          <w:ilvl w:val="0"/>
          <w:numId w:val="5"/>
        </w:numPr>
        <w:tabs>
          <w:tab w:val="clear" w:pos="1004"/>
          <w:tab w:val="num" w:pos="284"/>
        </w:tabs>
        <w:ind w:left="284" w:hanging="284"/>
      </w:pPr>
      <w:r w:rsidRPr="004466F1">
        <w:t>zapewnieniem dobrej współpracy Policji i prokuratury,</w:t>
      </w:r>
    </w:p>
    <w:p w:rsidR="00D45825" w:rsidRPr="004466F1" w:rsidRDefault="00D45825" w:rsidP="00325951">
      <w:pPr>
        <w:pStyle w:val="tekstprokuratury"/>
        <w:numPr>
          <w:ilvl w:val="0"/>
          <w:numId w:val="5"/>
        </w:numPr>
        <w:tabs>
          <w:tab w:val="clear" w:pos="1004"/>
          <w:tab w:val="num" w:pos="284"/>
        </w:tabs>
        <w:ind w:left="284" w:hanging="284"/>
      </w:pPr>
      <w:r w:rsidRPr="004466F1">
        <w:t>realną możliwością szybkiego przystąpienia do rozpoznania sprawy przez sąd,</w:t>
      </w:r>
    </w:p>
    <w:p w:rsidR="00D45825" w:rsidRPr="004466F1" w:rsidRDefault="00D45825" w:rsidP="00325951">
      <w:pPr>
        <w:pStyle w:val="tekstprokuratury"/>
        <w:numPr>
          <w:ilvl w:val="0"/>
          <w:numId w:val="5"/>
        </w:numPr>
        <w:tabs>
          <w:tab w:val="clear" w:pos="1004"/>
          <w:tab w:val="num" w:pos="284"/>
        </w:tabs>
        <w:ind w:left="284" w:hanging="284"/>
      </w:pPr>
      <w:r w:rsidRPr="004466F1">
        <w:t>odstąpieniem od stosowania środków zapobiegawczych,</w:t>
      </w:r>
    </w:p>
    <w:p w:rsidR="00D45825" w:rsidRPr="004466F1" w:rsidRDefault="00D45825" w:rsidP="00325951">
      <w:pPr>
        <w:pStyle w:val="tekstprokuratury"/>
        <w:numPr>
          <w:ilvl w:val="0"/>
          <w:numId w:val="5"/>
        </w:numPr>
        <w:tabs>
          <w:tab w:val="clear" w:pos="1004"/>
          <w:tab w:val="num" w:pos="284"/>
        </w:tabs>
        <w:ind w:left="284" w:hanging="284"/>
      </w:pPr>
      <w:r w:rsidRPr="004466F1">
        <w:t>utrwaleniem się standardu dowodzenia w świadomości uczestników pr</w:t>
      </w:r>
      <w:r w:rsidRPr="004466F1">
        <w:t>o</w:t>
      </w:r>
      <w:r w:rsidRPr="004466F1">
        <w:t xml:space="preserve">cesu, tak że ujawnienie zakresu poczynionych ustaleń będzie skłaniało do częstszego poszukiwania konsensualnego sposobu zakończenia </w:t>
      </w:r>
      <w:r w:rsidR="00325951" w:rsidRPr="004466F1">
        <w:t>p</w:t>
      </w:r>
      <w:r w:rsidR="00325951" w:rsidRPr="004466F1">
        <w:t>o</w:t>
      </w:r>
      <w:r w:rsidR="00325951" w:rsidRPr="004466F1">
        <w:t>stęp</w:t>
      </w:r>
      <w:r w:rsidR="00325951" w:rsidRPr="004466F1">
        <w:t>o</w:t>
      </w:r>
      <w:r w:rsidR="00325951" w:rsidRPr="004466F1">
        <w:t>wania</w:t>
      </w:r>
      <w:r w:rsidRPr="004466F1">
        <w:t>.</w:t>
      </w:r>
    </w:p>
    <w:p w:rsidR="00D45825" w:rsidRPr="004466F1" w:rsidRDefault="00D45825" w:rsidP="004466F1">
      <w:pPr>
        <w:pStyle w:val="tekstprokuratury"/>
      </w:pPr>
      <w:r w:rsidRPr="004466F1">
        <w:t>Pierwsze pole oceny obejmuje propozycję nowego rozumienia wyr</w:t>
      </w:r>
      <w:r w:rsidRPr="004466F1">
        <w:t>a</w:t>
      </w:r>
      <w:r w:rsidRPr="004466F1">
        <w:t>żonej w niezmienionym art. 4 k.p.k. zasady obiektywizmu. Już na samym początku rysuje się istotna trudność – bez zmiany normatywnej mielibyśmy zmieniać znaczenie jednej z podstawowych zasad procesu. To, co profesor Hofma</w:t>
      </w:r>
      <w:r w:rsidRPr="004466F1">
        <w:t>ń</w:t>
      </w:r>
      <w:r w:rsidRPr="004466F1">
        <w:t>ski napisał w części pierwszej naszego dwugłosu</w:t>
      </w:r>
      <w:r w:rsidR="008B64EB">
        <w:t>,</w:t>
      </w:r>
      <w:r w:rsidRPr="004466F1">
        <w:t xml:space="preserve"> odbieram jako intelektua</w:t>
      </w:r>
      <w:r w:rsidRPr="004466F1">
        <w:t>l</w:t>
      </w:r>
      <w:r w:rsidRPr="004466F1">
        <w:t>ną prowokację, jako swoiste wezwanie do szerszej dyskusji, która końcowo lepiej pozwoli zrozumieć istotę nowego modelu postępowania. Wszak</w:t>
      </w:r>
      <w:r w:rsidR="004466F1">
        <w:t xml:space="preserve"> </w:t>
      </w:r>
      <w:r w:rsidRPr="004466F1">
        <w:t xml:space="preserve">na zgoła odmienne od zaproponowanego rozumienie art. 4 k.p.k. z perspektywy </w:t>
      </w:r>
      <w:r w:rsidRPr="004466F1">
        <w:lastRenderedPageBreak/>
        <w:t>prokuratora wskazują chociażby art. 7 k.p.k. czy art. 44</w:t>
      </w:r>
      <w:r w:rsidR="004466F1">
        <w:t xml:space="preserve"> </w:t>
      </w:r>
      <w:r w:rsidR="008B64EB">
        <w:t>u</w:t>
      </w:r>
      <w:r w:rsidRPr="004466F1">
        <w:t>stawy o prokurat</w:t>
      </w:r>
      <w:r w:rsidRPr="004466F1">
        <w:t>u</w:t>
      </w:r>
      <w:r w:rsidRPr="004466F1">
        <w:t>rze. Zakres zasady bezstronności w jej dotychczasowym ujęciu pozwalał na wsparcie argumentacji, że zasada prawdy materialnej przetrwa w polskim procesie, bo do jej przestrzegania zobowiązane nadal będą:</w:t>
      </w:r>
      <w:r w:rsidR="004466F1">
        <w:t xml:space="preserve"> </w:t>
      </w:r>
      <w:r w:rsidRPr="004466F1">
        <w:t>oskarżyciel p</w:t>
      </w:r>
      <w:r w:rsidRPr="004466F1">
        <w:t>u</w:t>
      </w:r>
      <w:r w:rsidRPr="004466F1">
        <w:t>bliczny i organy prowadzące postępowanie przygot</w:t>
      </w:r>
      <w:r w:rsidRPr="004466F1">
        <w:t>o</w:t>
      </w:r>
      <w:r w:rsidRPr="004466F1">
        <w:t>wawcze. Mając za sobą aparat państwa – ale też odpowiadając za jego a</w:t>
      </w:r>
      <w:r w:rsidRPr="004466F1">
        <w:t>u</w:t>
      </w:r>
      <w:r w:rsidRPr="004466F1">
        <w:t>torytet – będą dalej dążyć do prawdziwych ustaleń faktycznych, uwzględniając także okoliczności przemawiające na korzyść oskarżonego. Moim zd</w:t>
      </w:r>
      <w:r w:rsidRPr="004466F1">
        <w:t>a</w:t>
      </w:r>
      <w:r w:rsidRPr="004466F1">
        <w:t>niem zobowiązanie to jest niezależne od fazy procesu i ma wybitnie gwara</w:t>
      </w:r>
      <w:r w:rsidRPr="004466F1">
        <w:t>n</w:t>
      </w:r>
      <w:r w:rsidRPr="004466F1">
        <w:t>cyjny charakter. Nie chciałbym być sądzony w procesie, w którym ceną dla utrzymania model</w:t>
      </w:r>
      <w:r w:rsidRPr="004466F1">
        <w:t>o</w:t>
      </w:r>
      <w:r w:rsidRPr="004466F1">
        <w:t>wej kontradyktoryjności rozprawy przed bezstronnym sądem jest umożliwi</w:t>
      </w:r>
      <w:r w:rsidRPr="004466F1">
        <w:t>e</w:t>
      </w:r>
      <w:r w:rsidRPr="004466F1">
        <w:t>nie oskarżycielowi publicznemu zamknięcia oczu na okoliczności świadcz</w:t>
      </w:r>
      <w:r w:rsidRPr="004466F1">
        <w:t>ą</w:t>
      </w:r>
      <w:r w:rsidRPr="004466F1">
        <w:t>ce o mojej niewinności. Prawo do obrońcy z urzędu na żądanie nie reko</w:t>
      </w:r>
      <w:r w:rsidRPr="004466F1">
        <w:t>m</w:t>
      </w:r>
      <w:r w:rsidRPr="004466F1">
        <w:t>pensuje tego rodzaju zmiany. Jedynie</w:t>
      </w:r>
      <w:r w:rsidR="008B64EB">
        <w:t>,</w:t>
      </w:r>
      <w:r w:rsidRPr="004466F1">
        <w:t xml:space="preserve"> aby uniknąć zbędnego patosu</w:t>
      </w:r>
      <w:r w:rsidR="008B64EB">
        <w:t>,</w:t>
      </w:r>
      <w:r w:rsidRPr="004466F1">
        <w:t xml:space="preserve"> nie odwołam się w tym miejscu do zasad etyki zawodowej pr</w:t>
      </w:r>
      <w:r w:rsidRPr="004466F1">
        <w:t>o</w:t>
      </w:r>
      <w:r w:rsidRPr="004466F1">
        <w:t>kuratora.</w:t>
      </w:r>
    </w:p>
    <w:p w:rsidR="00D45825" w:rsidRPr="004466F1" w:rsidRDefault="00D45825" w:rsidP="004466F1">
      <w:pPr>
        <w:pStyle w:val="tekstprokuratury"/>
      </w:pPr>
      <w:r w:rsidRPr="004466F1">
        <w:t>Drugie pole – chyba jeszcze bardziej prowokujące i otwierające dy</w:t>
      </w:r>
      <w:r w:rsidRPr="004466F1">
        <w:t>s</w:t>
      </w:r>
      <w:r w:rsidRPr="004466F1">
        <w:t xml:space="preserve">kurs </w:t>
      </w:r>
      <w:r w:rsidR="004466F1">
        <w:t>–</w:t>
      </w:r>
      <w:r w:rsidRPr="004466F1">
        <w:t xml:space="preserve"> dotyczy podejścia do uniewinnienia oskarżonego jako potencjalnej kons</w:t>
      </w:r>
      <w:r w:rsidRPr="004466F1">
        <w:t>e</w:t>
      </w:r>
      <w:r w:rsidRPr="004466F1">
        <w:t>kwencji ograniczenia zakresu czynności w postępowaniu przygot</w:t>
      </w:r>
      <w:r w:rsidRPr="004466F1">
        <w:t>o</w:t>
      </w:r>
      <w:r w:rsidRPr="004466F1">
        <w:t>wawczym i łączy się z propozycją odstąpienia od tradycyjnego ujmowania tegoż uni</w:t>
      </w:r>
      <w:r w:rsidRPr="004466F1">
        <w:t>e</w:t>
      </w:r>
      <w:r w:rsidRPr="004466F1">
        <w:t xml:space="preserve">winnienia jako spektakularnej porażki prokuratury. </w:t>
      </w:r>
    </w:p>
    <w:p w:rsidR="00D45825" w:rsidRPr="004466F1" w:rsidRDefault="00D45825" w:rsidP="004466F1">
      <w:pPr>
        <w:pStyle w:val="tekstprokuratury"/>
      </w:pPr>
      <w:r w:rsidRPr="004466F1">
        <w:t>Jako prokurator chętnie widziałbym zmiany w sposobie doboru kryt</w:t>
      </w:r>
      <w:r w:rsidRPr="004466F1">
        <w:t>e</w:t>
      </w:r>
      <w:r w:rsidRPr="004466F1">
        <w:t>riów, według których oceniana jest praca oskarżyciela publicznego. Chcia</w:t>
      </w:r>
      <w:r w:rsidRPr="004466F1">
        <w:t>ł</w:t>
      </w:r>
      <w:r w:rsidRPr="004466F1">
        <w:t xml:space="preserve">bym </w:t>
      </w:r>
      <w:r w:rsidR="008B64EB">
        <w:t xml:space="preserve">– </w:t>
      </w:r>
      <w:r w:rsidRPr="004466F1">
        <w:t xml:space="preserve">zwłaszcza razem z innymi osobami wykonującymi ten zawód </w:t>
      </w:r>
      <w:r w:rsidR="004466F1">
        <w:t xml:space="preserve">– </w:t>
      </w:r>
      <w:r w:rsidRPr="004466F1">
        <w:t>wyd</w:t>
      </w:r>
      <w:r w:rsidRPr="004466F1">
        <w:t>o</w:t>
      </w:r>
      <w:r w:rsidRPr="004466F1">
        <w:t>być się z macek wszechogarniającej statystyki i uwolnić od zamiłowania przełoż</w:t>
      </w:r>
      <w:r w:rsidRPr="004466F1">
        <w:t>o</w:t>
      </w:r>
      <w:r w:rsidRPr="004466F1">
        <w:t>nych do magii cyfr, które nie tyle opisują naszą pracę, co odrywają od niej, gdy na potrzeby różnych opracowań musimy sami zbierać dane.</w:t>
      </w:r>
    </w:p>
    <w:p w:rsidR="00D45825" w:rsidRPr="004466F1" w:rsidRDefault="00D45825" w:rsidP="004466F1">
      <w:pPr>
        <w:pStyle w:val="tekstprokuratury"/>
      </w:pPr>
      <w:r w:rsidRPr="004466F1">
        <w:t>Ale nie ma w tych pragnieniach dążenia do uwolnienia od odpowiedzia</w:t>
      </w:r>
      <w:r w:rsidRPr="004466F1">
        <w:t>l</w:t>
      </w:r>
      <w:r w:rsidRPr="004466F1">
        <w:t xml:space="preserve">ności za skierowanie i obronę skargi oskarżycielskiej. To koresponduje </w:t>
      </w:r>
      <w:r w:rsidR="008B64EB">
        <w:t xml:space="preserve">– </w:t>
      </w:r>
      <w:r w:rsidRPr="004466F1">
        <w:t>z</w:t>
      </w:r>
      <w:r w:rsidR="00821F40">
        <w:t> </w:t>
      </w:r>
      <w:r w:rsidRPr="004466F1">
        <w:t xml:space="preserve">wyrażoną jako trzecia </w:t>
      </w:r>
      <w:r w:rsidR="004466F1">
        <w:t xml:space="preserve">– </w:t>
      </w:r>
      <w:r w:rsidRPr="004466F1">
        <w:t>tezą profesora Hofmańskiego, że w obawie przed wymogami kontradyktoryjnej rozprawy prokuratorzy będą cyzelować zebrany materiał, asekurancko uzupełniać zabezpieczone dowody i tym samym w</w:t>
      </w:r>
      <w:r w:rsidRPr="004466F1">
        <w:t>y</w:t>
      </w:r>
      <w:r w:rsidRPr="004466F1">
        <w:t>dłużać postępowania.</w:t>
      </w:r>
      <w:r w:rsidR="004466F1">
        <w:t xml:space="preserve"> </w:t>
      </w:r>
      <w:r w:rsidRPr="004466F1">
        <w:t>Mam nadzieję, że tak będzie jedynie w części spraw i</w:t>
      </w:r>
      <w:r w:rsidR="00821F40">
        <w:t> </w:t>
      </w:r>
      <w:r w:rsidRPr="004466F1">
        <w:t>na początkowym etapie wdrożenia reformy proceduralnej. Bo</w:t>
      </w:r>
      <w:r w:rsidR="008B64EB">
        <w:t xml:space="preserve"> co do tego</w:t>
      </w:r>
      <w:r w:rsidRPr="004466F1">
        <w:t>, że są sprawy</w:t>
      </w:r>
      <w:r w:rsidR="008B64EB">
        <w:t>,</w:t>
      </w:r>
      <w:r w:rsidRPr="004466F1">
        <w:t xml:space="preserve"> w których takie podejście będzie konieczne – nie mam ża</w:t>
      </w:r>
      <w:r w:rsidRPr="004466F1">
        <w:t>d</w:t>
      </w:r>
      <w:r w:rsidRPr="004466F1">
        <w:t>nych wątpliwości. Nie ma usprawiedliwienia dla prokuratora, który zlekcew</w:t>
      </w:r>
      <w:r w:rsidRPr="004466F1">
        <w:t>a</w:t>
      </w:r>
      <w:r w:rsidRPr="004466F1">
        <w:t>żyłby ważne dowody tylko dlatego, żeby sprawa wcześniej trafiła do sądu, a</w:t>
      </w:r>
      <w:r w:rsidR="008B64EB">
        <w:t> </w:t>
      </w:r>
      <w:r w:rsidRPr="004466F1">
        <w:t>n</w:t>
      </w:r>
      <w:r w:rsidRPr="004466F1">
        <w:t>a</w:t>
      </w:r>
      <w:r w:rsidRPr="004466F1">
        <w:t xml:space="preserve">stępnie przegrał sprawę z uwagi na swoje zaniechania. Nie może </w:t>
      </w:r>
      <w:r w:rsidR="008B64EB">
        <w:t xml:space="preserve">tak </w:t>
      </w:r>
      <w:r w:rsidRPr="004466F1">
        <w:t>być</w:t>
      </w:r>
      <w:r w:rsidR="008B64EB">
        <w:t>,</w:t>
      </w:r>
      <w:r w:rsidRPr="004466F1">
        <w:t xml:space="preserve"> bo w sprawie karnej chodzi nie tylko o szybkość postępowania, ale też o sprawiedliwość</w:t>
      </w:r>
      <w:r w:rsidR="00B24E4E">
        <w:t>,</w:t>
      </w:r>
      <w:r w:rsidRPr="004466F1">
        <w:t xml:space="preserve"> i to w wymiarze potwierdzającym funkcjonowanie klucz</w:t>
      </w:r>
      <w:r w:rsidRPr="004466F1">
        <w:t>o</w:t>
      </w:r>
      <w:r w:rsidRPr="004466F1">
        <w:t>wych norm społecznych.</w:t>
      </w:r>
    </w:p>
    <w:p w:rsidR="00D45825" w:rsidRPr="004466F1" w:rsidRDefault="00D45825" w:rsidP="004466F1">
      <w:pPr>
        <w:pStyle w:val="tekstprokuratury"/>
      </w:pPr>
      <w:r w:rsidRPr="004466F1">
        <w:t>Aby utrzymać się w konwencji zaproszenia do dalszej żywej dyskusji</w:t>
      </w:r>
      <w:r w:rsidR="008B64EB">
        <w:t>,</w:t>
      </w:r>
      <w:r w:rsidRPr="004466F1">
        <w:t xml:space="preserve"> proponowaną zmianę w podejściu do pracy prokuratora – odczytywaną </w:t>
      </w:r>
      <w:r w:rsidRPr="004466F1">
        <w:lastRenderedPageBreak/>
        <w:t>w</w:t>
      </w:r>
      <w:r w:rsidR="00821F40">
        <w:t> </w:t>
      </w:r>
      <w:r w:rsidRPr="004466F1">
        <w:t xml:space="preserve">perspektywie problemu drugiego i trzeciego </w:t>
      </w:r>
      <w:r w:rsidR="004466F1">
        <w:t xml:space="preserve">– </w:t>
      </w:r>
      <w:r w:rsidRPr="004466F1">
        <w:t>porównałbym z generalnym zaleceniem instruowania aplikantów adwokackich na etapie szkolenia do tego, aby swoich przyszłych klientów przede wszystkim namawiali do d</w:t>
      </w:r>
      <w:r w:rsidRPr="004466F1">
        <w:t>o</w:t>
      </w:r>
      <w:r w:rsidRPr="004466F1">
        <w:t>browolnego poddania się karze</w:t>
      </w:r>
      <w:r w:rsidR="008B64EB">
        <w:t>,</w:t>
      </w:r>
      <w:r w:rsidRPr="004466F1">
        <w:t xml:space="preserve"> bo dzięki temu skróci się czas procesu i</w:t>
      </w:r>
      <w:r w:rsidR="00821F40">
        <w:t> </w:t>
      </w:r>
      <w:r w:rsidRPr="004466F1">
        <w:t>wcześniej zatrze się ich skazanie. Jest to oczywiście możliwy punkt widz</w:t>
      </w:r>
      <w:r w:rsidRPr="004466F1">
        <w:t>e</w:t>
      </w:r>
      <w:r w:rsidRPr="004466F1">
        <w:t>nia, potencjalnie korzystne rozwiązanie sytuacji procesowej związanej z</w:t>
      </w:r>
      <w:r w:rsidR="00821F40">
        <w:t> </w:t>
      </w:r>
      <w:r w:rsidRPr="004466F1">
        <w:t>oskarżeniem – ale ostateczna ocena zależy przecież od rodzaju i stanu sprawy.</w:t>
      </w:r>
    </w:p>
    <w:p w:rsidR="00D45825" w:rsidRPr="00325951" w:rsidRDefault="00D45825" w:rsidP="004466F1">
      <w:pPr>
        <w:pStyle w:val="tekstprokuratury"/>
      </w:pPr>
      <w:r w:rsidRPr="00325951">
        <w:t>W zakresie czwartej grupy zagadnień chciałbym wskazać, że dla środ</w:t>
      </w:r>
      <w:r w:rsidRPr="00325951">
        <w:t>o</w:t>
      </w:r>
      <w:r w:rsidRPr="00325951">
        <w:t>wiska praktyków bardzo istotne są zwłaszcza: możliwość oddalenia wniosku dowodowego w postępowaniu przygotowawczym wobec stwierdz</w:t>
      </w:r>
      <w:r w:rsidRPr="00325951">
        <w:t>e</w:t>
      </w:r>
      <w:r w:rsidRPr="00325951">
        <w:t>nia, że jego cele zostały zrealizowane, dopuszczenie do odczytywania d</w:t>
      </w:r>
      <w:r w:rsidRPr="00325951">
        <w:t>o</w:t>
      </w:r>
      <w:r w:rsidRPr="00325951">
        <w:t>wodów prywatnych oraz kwestia nowego zakresu dopuszczalnego gromadzenia dowodów przez strony. Dwa z tych zagadnień są przedmiotem aktualnie prowadzonych prac legislacyjnych nad projektem rządowym zmian w kode</w:t>
      </w:r>
      <w:r w:rsidRPr="00325951">
        <w:t>k</w:t>
      </w:r>
      <w:r w:rsidRPr="00325951">
        <w:t>sie karnym i innych ustawach</w:t>
      </w:r>
      <w:r w:rsidR="008B64EB">
        <w:t>,</w:t>
      </w:r>
      <w:r w:rsidRPr="00325951">
        <w:t xml:space="preserve"> i dotyczą nowej treści art. 321 § 6 k.p.k. </w:t>
      </w:r>
      <w:r w:rsidR="004466F1" w:rsidRPr="00325951">
        <w:t>(</w:t>
      </w:r>
      <w:r w:rsidR="008B64EB">
        <w:t>w</w:t>
      </w:r>
      <w:r w:rsidRPr="00325951">
        <w:t>nioski dowodowe, o których mowa w § 5, mogą być przez prokuratora nieuwzględnione, jeżeli cele postępowania przygotowawczego, o których mowa w art. 297 § 1, zostały osiągnięte, a wnioski te nie mają wpływu na zakres ustaleń wskazanych w art. 297</w:t>
      </w:r>
      <w:r w:rsidR="00821F40">
        <w:t xml:space="preserve"> </w:t>
      </w:r>
      <w:r w:rsidRPr="00325951">
        <w:t>§ 1 pkt 5, chyba że chodzi o wniosek dotyczący dowodu, którego nieprzeprowadzenie grozi jego utratą lub zni</w:t>
      </w:r>
      <w:r w:rsidRPr="00325951">
        <w:t>e</w:t>
      </w:r>
      <w:r w:rsidRPr="00325951">
        <w:t>kształceniem. Prokurator, w razie nieuwzględnienia wniosku dowodowego strony, przekazuje ten wniosek wraz z aktem oskarżenia sądowi. Prezes s</w:t>
      </w:r>
      <w:r w:rsidRPr="00325951">
        <w:t>ą</w:t>
      </w:r>
      <w:r w:rsidRPr="00325951">
        <w:t>du lub sąd rozstrzyga w przedmiocie wniosku przed rozprawą) oraz wpr</w:t>
      </w:r>
      <w:r w:rsidRPr="00325951">
        <w:t>o</w:t>
      </w:r>
      <w:r w:rsidRPr="00325951">
        <w:t>wadzenia art. 404a k.p.k. (</w:t>
      </w:r>
      <w:r w:rsidR="008B64EB">
        <w:t>o</w:t>
      </w:r>
      <w:r w:rsidRPr="00325951">
        <w:t>skarżyciel publiczny w celu zebrania dowodów może przeprowadzić, w czasie przerwy albo odroczenia rozprawy, osobiście, a prokurator także zlecić Policji dokonanie niezbędnych czynności dowod</w:t>
      </w:r>
      <w:r w:rsidRPr="00325951">
        <w:t>o</w:t>
      </w:r>
      <w:r w:rsidRPr="00325951">
        <w:t>wych). Obie propozycje należy ocenić jako niezbędne uzupełnienia nowego modelu postępowania. Trzecia z poruszonych kwestii nie doczekała się je</w:t>
      </w:r>
      <w:r w:rsidRPr="00325951">
        <w:t>d</w:t>
      </w:r>
      <w:r w:rsidRPr="00325951">
        <w:t>noznacznej podstawy w zmianach normatywnych, ale jest tylko kwestią cz</w:t>
      </w:r>
      <w:r w:rsidRPr="00325951">
        <w:t>a</w:t>
      </w:r>
      <w:r w:rsidRPr="00325951">
        <w:t>su konieczność odpowiedzi na pytania o sposób gromadzenia i zabezpi</w:t>
      </w:r>
      <w:r w:rsidRPr="00325951">
        <w:t>e</w:t>
      </w:r>
      <w:r w:rsidRPr="00325951">
        <w:t>czanie dowodów do przeprowadzenia przed sądem przez obronę, ale też przez pełnomocników pokrzywdzonych – np. tych niezadowolonych z ogr</w:t>
      </w:r>
      <w:r w:rsidRPr="00325951">
        <w:t>a</w:t>
      </w:r>
      <w:r w:rsidRPr="00325951">
        <w:t>niczenia czynności dowodowych w postępowaniu przygotowawczym prow</w:t>
      </w:r>
      <w:r w:rsidRPr="00325951">
        <w:t>a</w:t>
      </w:r>
      <w:r w:rsidRPr="00325951">
        <w:t>dzonym przez Policję pod nadzorem prokuratora. Wymagał będzie tego z</w:t>
      </w:r>
      <w:r w:rsidRPr="00325951">
        <w:t>a</w:t>
      </w:r>
      <w:r w:rsidRPr="00325951">
        <w:t>pis art.</w:t>
      </w:r>
      <w:r w:rsidR="00325951">
        <w:t xml:space="preserve"> </w:t>
      </w:r>
      <w:r w:rsidRPr="00325951">
        <w:t>168a k.p.k., wprowadzający powinność eliminowania dowodów uz</w:t>
      </w:r>
      <w:r w:rsidRPr="00325951">
        <w:t>y</w:t>
      </w:r>
      <w:r w:rsidRPr="00325951">
        <w:t>skanych za pomocą czynu zabronionego.</w:t>
      </w:r>
      <w:r w:rsidR="004466F1" w:rsidRPr="00325951">
        <w:t xml:space="preserve"> </w:t>
      </w:r>
      <w:r w:rsidRPr="00325951">
        <w:t>Sporna jest także ocena znacz</w:t>
      </w:r>
      <w:r w:rsidRPr="00325951">
        <w:t>e</w:t>
      </w:r>
      <w:r w:rsidRPr="00325951">
        <w:t>nia dowodowego tzw. opinii prywatnych, zwłaszcza że w zakresie przep</w:t>
      </w:r>
      <w:r w:rsidRPr="00325951">
        <w:t>i</w:t>
      </w:r>
      <w:r w:rsidRPr="00325951">
        <w:t>sów rozdziału 22 k.p.k. nie dokonano gruntownych zmian.</w:t>
      </w:r>
    </w:p>
    <w:p w:rsidR="00D45825" w:rsidRPr="004466F1" w:rsidRDefault="00D45825" w:rsidP="004466F1">
      <w:pPr>
        <w:pStyle w:val="tekstprokuratury"/>
        <w:rPr>
          <w:i/>
        </w:rPr>
      </w:pPr>
      <w:r w:rsidRPr="004466F1">
        <w:t>Ostatnie z wybranych przez profesora Hofmańskiego pole dyskusji dot</w:t>
      </w:r>
      <w:r w:rsidRPr="004466F1">
        <w:t>y</w:t>
      </w:r>
      <w:r w:rsidRPr="004466F1">
        <w:t>czy trybów konsensualnych, w tym zakresu czynności dowodowych pode</w:t>
      </w:r>
      <w:r w:rsidRPr="004466F1">
        <w:t>j</w:t>
      </w:r>
      <w:r w:rsidRPr="004466F1">
        <w:t>mowanych przez prowadzących postępowanie przygotowawcze w perspe</w:t>
      </w:r>
      <w:r w:rsidRPr="004466F1">
        <w:t>k</w:t>
      </w:r>
      <w:r w:rsidRPr="004466F1">
        <w:lastRenderedPageBreak/>
        <w:t>tywie możliwości porozumienia z podejrzanym co do warunków podd</w:t>
      </w:r>
      <w:r w:rsidRPr="004466F1">
        <w:t>a</w:t>
      </w:r>
      <w:r w:rsidRPr="004466F1">
        <w:t>nia się karze jeszcze na etapie przed skierowaniem aktu oskarżenia. Na szczegó</w:t>
      </w:r>
      <w:r w:rsidRPr="004466F1">
        <w:t>l</w:t>
      </w:r>
      <w:r w:rsidRPr="004466F1">
        <w:t>ną uwagę zasługuje obawa, że po wejściu w życie noweli wrześniowej mo</w:t>
      </w:r>
      <w:r w:rsidRPr="004466F1">
        <w:t>ż</w:t>
      </w:r>
      <w:r w:rsidRPr="004466F1">
        <w:t>liwe jest ukształtowanie się dwóch różnych „ścieżek” postępowania dow</w:t>
      </w:r>
      <w:r w:rsidRPr="004466F1">
        <w:t>o</w:t>
      </w:r>
      <w:r w:rsidRPr="004466F1">
        <w:t>dowego w fazie poprzedzającej postępowanie przed sądem.</w:t>
      </w:r>
    </w:p>
    <w:p w:rsidR="00D45825" w:rsidRPr="00325951" w:rsidRDefault="00D45825" w:rsidP="004466F1">
      <w:pPr>
        <w:pStyle w:val="tekstprokuratury"/>
      </w:pPr>
      <w:r w:rsidRPr="00325951">
        <w:t>Chciałbym w tym miejscu podzielić się refleksją, że rozpoczynając post</w:t>
      </w:r>
      <w:r w:rsidRPr="00325951">
        <w:t>ę</w:t>
      </w:r>
      <w:r w:rsidRPr="00325951">
        <w:t>powanie przygotowawcze w sprawie, w której niezbędne będzie podejm</w:t>
      </w:r>
      <w:r w:rsidRPr="00325951">
        <w:t>o</w:t>
      </w:r>
      <w:r w:rsidRPr="00325951">
        <w:t>wanie czynności o charakterze wykrywczym</w:t>
      </w:r>
      <w:r w:rsidR="008B64EB">
        <w:t>,</w:t>
      </w:r>
      <w:r w:rsidRPr="00325951">
        <w:t xml:space="preserve"> częstokroć nie można przew</w:t>
      </w:r>
      <w:r w:rsidRPr="00325951">
        <w:t>i</w:t>
      </w:r>
      <w:r w:rsidRPr="00325951">
        <w:t>dzieć, czy doprowadzą one do konsensualnego zakończenia. Założ</w:t>
      </w:r>
      <w:r w:rsidRPr="00325951">
        <w:t>e</w:t>
      </w:r>
      <w:r w:rsidRPr="00325951">
        <w:t>nie, że w tej sytuacji da się rozdzielić dwa sposoby prowadzenia postęp</w:t>
      </w:r>
      <w:r w:rsidRPr="00325951">
        <w:t>o</w:t>
      </w:r>
      <w:r w:rsidRPr="00325951">
        <w:t>wań już na etapie wstępnym</w:t>
      </w:r>
      <w:r w:rsidR="004466F1" w:rsidRPr="00325951">
        <w:t xml:space="preserve"> </w:t>
      </w:r>
      <w:r w:rsidRPr="00325951">
        <w:t>(w kierunku zakończenia porozumieniem pr</w:t>
      </w:r>
      <w:r w:rsidRPr="00325951">
        <w:t>o</w:t>
      </w:r>
      <w:r w:rsidRPr="00325951">
        <w:t>cesowym albo w kierunku kontradyktoryjnej rozprawy) jest dotknięte metodologicznym ni</w:t>
      </w:r>
      <w:r w:rsidRPr="00325951">
        <w:t>e</w:t>
      </w:r>
      <w:r w:rsidRPr="00325951">
        <w:t>porozumieniem. Co więcej – stanowisko podejrzanego z</w:t>
      </w:r>
      <w:r w:rsidRPr="00325951">
        <w:t>o</w:t>
      </w:r>
      <w:r w:rsidRPr="00325951">
        <w:t>staje procesowo zaprezentowane co do zasady dopiero po przedstawieniu mu zarzutu,</w:t>
      </w:r>
      <w:r w:rsidR="004466F1" w:rsidRPr="00325951">
        <w:t xml:space="preserve"> </w:t>
      </w:r>
      <w:r w:rsidRPr="00325951">
        <w:t>co w</w:t>
      </w:r>
      <w:r w:rsidR="00821F40">
        <w:t> </w:t>
      </w:r>
      <w:r w:rsidRPr="00325951">
        <w:t>szeregu postępowań następuje już po gruntownie przeprowadzonym z</w:t>
      </w:r>
      <w:r w:rsidRPr="00325951">
        <w:t>e</w:t>
      </w:r>
      <w:r w:rsidRPr="00325951">
        <w:t>braniu i zabezpieczeniu dowodów. To na wyprowadzonych wnioskach z</w:t>
      </w:r>
      <w:r w:rsidR="00821F40">
        <w:t> </w:t>
      </w:r>
      <w:r w:rsidRPr="00325951">
        <w:t>łącznego oglądu zebranych materiałów zasadza się hipoteza co do spra</w:t>
      </w:r>
      <w:r w:rsidRPr="00325951">
        <w:t>w</w:t>
      </w:r>
      <w:r w:rsidRPr="00325951">
        <w:t>stwa konkretnej osoby. Na marginesie powołam tylko niezmienione zapisy art. 313 § 2 i § 4 k.p.k., zgodnie z którymi postanowienie o przedstawieniu zarzutów winno zawierać dokładne określenie zarzucanego czynu, a uz</w:t>
      </w:r>
      <w:r w:rsidRPr="00325951">
        <w:t>a</w:t>
      </w:r>
      <w:r w:rsidRPr="00325951">
        <w:t>sadnienie tej decyzji wskazywać – jakie fakty i dowody zostały przyjęte za po</w:t>
      </w:r>
      <w:r w:rsidRPr="00325951">
        <w:t>d</w:t>
      </w:r>
      <w:r w:rsidRPr="00325951">
        <w:t>stawę zarzutów.</w:t>
      </w:r>
    </w:p>
    <w:p w:rsidR="00D45825" w:rsidRPr="004466F1" w:rsidRDefault="00D45825" w:rsidP="004466F1">
      <w:pPr>
        <w:pStyle w:val="tekstprokuratury"/>
      </w:pPr>
      <w:r w:rsidRPr="004466F1">
        <w:t>Powyższe przesądza o tym, że uproszczenia formalne dla czynionych ustaleń mogą mieć miejsce w sprawach, w których sprawca jest wł</w:t>
      </w:r>
      <w:r w:rsidRPr="004466F1">
        <w:t>a</w:t>
      </w:r>
      <w:r w:rsidRPr="004466F1">
        <w:t>ściwie znany. Jest już elementem taktycznym</w:t>
      </w:r>
      <w:r w:rsidR="008B64EB">
        <w:t>,</w:t>
      </w:r>
      <w:r w:rsidRPr="004466F1">
        <w:t xml:space="preserve"> czy przedstawienie mu z</w:t>
      </w:r>
      <w:r w:rsidRPr="004466F1">
        <w:t>a</w:t>
      </w:r>
      <w:r w:rsidRPr="004466F1">
        <w:t>rzutów należy poprzedzić szeroko zakrojonym postępowaniem dowodowym</w:t>
      </w:r>
      <w:r w:rsidR="008B64EB">
        <w:t>,</w:t>
      </w:r>
      <w:r w:rsidRPr="004466F1">
        <w:t xml:space="preserve"> czy też przystąpić do tej czynności już po zabezpieczeniu niezbędnych d</w:t>
      </w:r>
      <w:r w:rsidRPr="004466F1">
        <w:t>o</w:t>
      </w:r>
      <w:r w:rsidRPr="004466F1">
        <w:t>wodów i</w:t>
      </w:r>
      <w:r w:rsidR="00821F40">
        <w:t> </w:t>
      </w:r>
      <w:r w:rsidRPr="004466F1">
        <w:t>poznaniu przewidywanej treści pozostałych (np. przesłuchaniu dwóch głównych świadków w tym pokrzywdzonego, a kolejne pięć ustalonych osób rozpytano, poznając ich relację o zdarzeniu). Sprawy taktyki procesowej o</w:t>
      </w:r>
      <w:r w:rsidRPr="004466F1">
        <w:t>r</w:t>
      </w:r>
      <w:r w:rsidRPr="004466F1">
        <w:t>ganów prowadzących postępowanie pozostają poza materią ustawową.</w:t>
      </w:r>
    </w:p>
    <w:p w:rsidR="00D45825" w:rsidRPr="004466F1" w:rsidRDefault="00D45825" w:rsidP="004466F1">
      <w:pPr>
        <w:pStyle w:val="tekstprokuratury"/>
      </w:pPr>
      <w:r w:rsidRPr="004466F1">
        <w:t>Rozszerzenie trybów konsensualnych na etapie</w:t>
      </w:r>
      <w:r w:rsidR="008B64EB">
        <w:t>,</w:t>
      </w:r>
      <w:r w:rsidRPr="004466F1">
        <w:t xml:space="preserve"> gdy sprawa nie jest już w</w:t>
      </w:r>
      <w:r w:rsidR="002A25B7">
        <w:t> </w:t>
      </w:r>
      <w:r w:rsidRPr="004466F1">
        <w:t xml:space="preserve">dyspozycji prokuratora (art. 338 k.p.k. i art. 387 k.p.k.), co </w:t>
      </w:r>
      <w:r w:rsidR="008B64EB">
        <w:t xml:space="preserve">– </w:t>
      </w:r>
      <w:r w:rsidRPr="004466F1">
        <w:t>pozwolę s</w:t>
      </w:r>
      <w:r w:rsidRPr="004466F1">
        <w:t>o</w:t>
      </w:r>
      <w:r w:rsidRPr="004466F1">
        <w:t>bie przypomnieć – w założeniach reformy miało skutkować zwiększeniem liczby spraw załatwianych konsensualnie</w:t>
      </w:r>
      <w:r w:rsidR="008B64EB">
        <w:t>,</w:t>
      </w:r>
      <w:r w:rsidRPr="004466F1">
        <w:t xml:space="preserve"> niewątpliwie jest wskazaniem, że ust</w:t>
      </w:r>
      <w:r w:rsidRPr="004466F1">
        <w:t>a</w:t>
      </w:r>
      <w:r w:rsidRPr="004466F1">
        <w:t>wodawca oczekuje odpowiedniego dowodowego umocowania aktu oskarż</w:t>
      </w:r>
      <w:r w:rsidRPr="004466F1">
        <w:t>e</w:t>
      </w:r>
      <w:r w:rsidRPr="004466F1">
        <w:t>nia, co stoi w sprzeczności z dążeniem do przedwczesnego kierowania a</w:t>
      </w:r>
      <w:r w:rsidRPr="004466F1">
        <w:t>k</w:t>
      </w:r>
      <w:r w:rsidRPr="004466F1">
        <w:t>tów oskarżenia i liczenia na możliwość weryfikacji wersji sprawczej już przed sądem. Co bowiem ma przekonać oskarżonego, że wina jego zostanie przed sądem udowodniona</w:t>
      </w:r>
      <w:r w:rsidR="008B64EB">
        <w:t>,</w:t>
      </w:r>
      <w:r w:rsidRPr="004466F1">
        <w:t xml:space="preserve"> jeżeli nie spójny i zwarty materiał zebrany w p</w:t>
      </w:r>
      <w:r w:rsidRPr="004466F1">
        <w:t>o</w:t>
      </w:r>
      <w:r w:rsidRPr="004466F1">
        <w:t>stępowaniu przygotowawczym? Chyba jeszcze tylko obawa przed dług</w:t>
      </w:r>
      <w:r w:rsidRPr="004466F1">
        <w:t>o</w:t>
      </w:r>
      <w:r w:rsidRPr="004466F1">
        <w:t>trwałością postępowania jurysdykcyjnego.</w:t>
      </w:r>
    </w:p>
    <w:p w:rsidR="00D45825" w:rsidRPr="004466F1" w:rsidRDefault="00D45825" w:rsidP="004466F1">
      <w:pPr>
        <w:pStyle w:val="tekstprokuratury"/>
      </w:pPr>
      <w:r w:rsidRPr="004466F1">
        <w:lastRenderedPageBreak/>
        <w:t>Przy czym uważam, że na etap przedstawienia zarzutów i późniejszego kierowania aktu oskarżenia część istotnych elementów stanu fa</w:t>
      </w:r>
      <w:r w:rsidRPr="004466F1">
        <w:t>k</w:t>
      </w:r>
      <w:r w:rsidRPr="004466F1">
        <w:t>tycznego można oprzeć nie o dowody (z wyłączeniem oczywiście czynności niepowt</w:t>
      </w:r>
      <w:r w:rsidRPr="004466F1">
        <w:t>a</w:t>
      </w:r>
      <w:r w:rsidRPr="004466F1">
        <w:t>rzalnych)</w:t>
      </w:r>
      <w:r w:rsidR="008B64EB">
        <w:t>,</w:t>
      </w:r>
      <w:r w:rsidRPr="004466F1">
        <w:t xml:space="preserve"> ale o informacje o dowodach. Notatka z rozpytania świadków, przeprowadzonego bezpośrednio po zdarzeniu, z perspektywą ich szybki</w:t>
      </w:r>
      <w:r w:rsidRPr="004466F1">
        <w:t>e</w:t>
      </w:r>
      <w:r w:rsidRPr="004466F1">
        <w:t>go przesłuchania przed sądem</w:t>
      </w:r>
      <w:r w:rsidR="008B64EB">
        <w:t>,</w:t>
      </w:r>
      <w:r w:rsidRPr="004466F1">
        <w:t xml:space="preserve"> w rokowaniach z podejrzanym będzie mi</w:t>
      </w:r>
      <w:r w:rsidRPr="004466F1">
        <w:t>a</w:t>
      </w:r>
      <w:r w:rsidRPr="004466F1">
        <w:t>ła właściwie taką samą wartość jak przesłuchanie. Wywołanie przekonania o</w:t>
      </w:r>
      <w:r w:rsidR="00821F40">
        <w:t> </w:t>
      </w:r>
      <w:r w:rsidRPr="004466F1">
        <w:t>pełnej wiedzy na temat przebiegu zdarzenia winno skłaniać do głębokiego zastanowienia się nad dobrowolnym poddaniem się karze.</w:t>
      </w:r>
    </w:p>
    <w:p w:rsidR="00D45825" w:rsidRPr="004466F1" w:rsidRDefault="00D45825" w:rsidP="004466F1">
      <w:pPr>
        <w:pStyle w:val="tekstprokuratury"/>
      </w:pPr>
      <w:r w:rsidRPr="004466F1">
        <w:t>W pełni zgadzam się ze stanowiskiem profesora Hofmańskiego, zgodnie z którym należy „większą wagę wiązać z wolą oskarżonego podd</w:t>
      </w:r>
      <w:r w:rsidRPr="004466F1">
        <w:t>a</w:t>
      </w:r>
      <w:r w:rsidRPr="004466F1">
        <w:t>nia się odpowiedzialności na określonych warunkach, która to wola powinna – w</w:t>
      </w:r>
      <w:r w:rsidR="00821F40">
        <w:t> </w:t>
      </w:r>
      <w:r w:rsidRPr="004466F1">
        <w:t>ograniczonym choćby zakresie – zastąpić materiał dowodowy gromadz</w:t>
      </w:r>
      <w:r w:rsidRPr="004466F1">
        <w:t>o</w:t>
      </w:r>
      <w:r w:rsidRPr="004466F1">
        <w:t>ny w celu wykazania tego, co oskarżony akceptuje”.</w:t>
      </w:r>
      <w:r w:rsidR="004466F1">
        <w:t xml:space="preserve"> </w:t>
      </w:r>
      <w:r w:rsidRPr="004466F1">
        <w:t>Tyle, że zastąpienie mat</w:t>
      </w:r>
      <w:r w:rsidRPr="004466F1">
        <w:t>e</w:t>
      </w:r>
      <w:r w:rsidRPr="004466F1">
        <w:t>riału dowodowego rozumiem od strony formalnej, bo nadal pozostaję prz</w:t>
      </w:r>
      <w:r w:rsidRPr="004466F1">
        <w:t>y</w:t>
      </w:r>
      <w:r w:rsidRPr="004466F1">
        <w:t>wiązany do</w:t>
      </w:r>
      <w:r w:rsidR="004466F1">
        <w:t xml:space="preserve"> </w:t>
      </w:r>
      <w:r w:rsidRPr="004466F1">
        <w:t>rozpoznania istoty zdarzenia objętego zarzutem. Nie wolno fetyszyzować przyznania</w:t>
      </w:r>
      <w:r w:rsidR="008B64EB">
        <w:t>,</w:t>
      </w:r>
      <w:r w:rsidRPr="004466F1">
        <w:t xml:space="preserve"> bo podlega ono ocenie chociażby w świetle t</w:t>
      </w:r>
      <w:r w:rsidRPr="004466F1">
        <w:t>e</w:t>
      </w:r>
      <w:r w:rsidRPr="004466F1">
        <w:t>go, czy nie jest elementem taktyki obrończej obliczonej na zamknięcie odpowi</w:t>
      </w:r>
      <w:r w:rsidRPr="004466F1">
        <w:t>e</w:t>
      </w:r>
      <w:r w:rsidRPr="004466F1">
        <w:t>dzialności karnej na niższym etapie ustaleń faktycznych, by uniknąć suro</w:t>
      </w:r>
      <w:r w:rsidRPr="004466F1">
        <w:t>w</w:t>
      </w:r>
      <w:r w:rsidRPr="004466F1">
        <w:t>szej odpowiedzialności za typ kwalifikowany</w:t>
      </w:r>
      <w:r w:rsidR="008B64EB">
        <w:t>,</w:t>
      </w:r>
      <w:r w:rsidRPr="004466F1">
        <w:t xml:space="preserve"> czy zgoła inny rodzaj działa</w:t>
      </w:r>
      <w:r w:rsidRPr="004466F1">
        <w:t>l</w:t>
      </w:r>
      <w:r w:rsidRPr="004466F1">
        <w:t>ności przestępczej, który mogłyby ujawnić dalsze czynności dowod</w:t>
      </w:r>
      <w:r w:rsidRPr="004466F1">
        <w:t>o</w:t>
      </w:r>
      <w:r w:rsidRPr="004466F1">
        <w:t>we.</w:t>
      </w:r>
    </w:p>
    <w:p w:rsidR="00D45825" w:rsidRPr="004466F1" w:rsidRDefault="00D45825" w:rsidP="004466F1">
      <w:pPr>
        <w:pStyle w:val="tekstprokuratury"/>
      </w:pPr>
      <w:r w:rsidRPr="004466F1">
        <w:t>W mojej ocenie wywołana dyskusja mogłaby toczyć się jeszcze na kilku polach. Na przykład</w:t>
      </w:r>
      <w:r w:rsidR="008B64EB">
        <w:t>:</w:t>
      </w:r>
      <w:r w:rsidRPr="004466F1">
        <w:t xml:space="preserve"> w odniesieniu do zakresu czynności dowodowych w</w:t>
      </w:r>
      <w:r w:rsidR="00821F40">
        <w:t> </w:t>
      </w:r>
      <w:r w:rsidRPr="004466F1">
        <w:t>sprawie, w której mimo kilkumiesięcznych działań nie ustalono sprawców czynu zabronionego, jakie tu kryteria oceny przyjmie sąd rozpoznający zaż</w:t>
      </w:r>
      <w:r w:rsidRPr="004466F1">
        <w:t>a</w:t>
      </w:r>
      <w:r w:rsidRPr="004466F1">
        <w:t xml:space="preserve">lenie strony wskazującej na dalsze możliwości dowodowe i wykrywcze? Albo w tym samym pakiecie tematycznym – czy i ewentualnie jak dokumentować w aktach </w:t>
      </w:r>
      <w:r w:rsidR="00821F40" w:rsidRPr="004466F1">
        <w:t>postępowania</w:t>
      </w:r>
      <w:r w:rsidRPr="004466F1">
        <w:t xml:space="preserve"> przygotowawczego działania wykrywcze o charakt</w:t>
      </w:r>
      <w:r w:rsidRPr="004466F1">
        <w:t>e</w:t>
      </w:r>
      <w:r w:rsidRPr="004466F1">
        <w:t xml:space="preserve">rze operacyjnym? </w:t>
      </w:r>
    </w:p>
    <w:p w:rsidR="00D45825" w:rsidRPr="004466F1" w:rsidRDefault="00D45825" w:rsidP="004466F1">
      <w:pPr>
        <w:pStyle w:val="tekstprokuratury"/>
      </w:pPr>
      <w:r w:rsidRPr="004466F1">
        <w:t xml:space="preserve">Z uwagi na charakter tekstu </w:t>
      </w:r>
      <w:r w:rsidR="008B64EB">
        <w:t>ograniczę się i wskażę</w:t>
      </w:r>
      <w:r w:rsidRPr="004466F1">
        <w:t xml:space="preserve"> tylko te elementy, kt</w:t>
      </w:r>
      <w:r w:rsidRPr="004466F1">
        <w:t>ó</w:t>
      </w:r>
      <w:r w:rsidRPr="004466F1">
        <w:t>re choć nie mają ścisłego związku z treścią reformy, mogą zaważyć na jej skuteczności. Mam tu na myśli</w:t>
      </w:r>
      <w:r w:rsidR="004466F1">
        <w:t>:</w:t>
      </w:r>
    </w:p>
    <w:p w:rsidR="00D45825" w:rsidRPr="004466F1" w:rsidRDefault="00D45825" w:rsidP="00325951">
      <w:pPr>
        <w:pStyle w:val="tekstprokuratury"/>
        <w:numPr>
          <w:ilvl w:val="0"/>
          <w:numId w:val="6"/>
        </w:numPr>
        <w:tabs>
          <w:tab w:val="clear" w:pos="1004"/>
          <w:tab w:val="num" w:pos="284"/>
        </w:tabs>
        <w:ind w:left="284" w:hanging="284"/>
        <w:rPr>
          <w:u w:val="single"/>
        </w:rPr>
      </w:pPr>
      <w:r w:rsidRPr="004466F1">
        <w:t>konieczność przygotowania aktów normatywnych o charakterze wyk</w:t>
      </w:r>
      <w:r w:rsidRPr="004466F1">
        <w:t>o</w:t>
      </w:r>
      <w:r w:rsidRPr="004466F1">
        <w:t>nawczym, tak by odpowiadały one duchowi i literze zmian w procedurze karnej, a zarazem szczegółowo regulowały kwestie wymagające</w:t>
      </w:r>
      <w:r w:rsidR="004466F1">
        <w:t xml:space="preserve"> </w:t>
      </w:r>
      <w:r w:rsidRPr="004466F1">
        <w:t>„oprz</w:t>
      </w:r>
      <w:r w:rsidRPr="004466F1">
        <w:t>y</w:t>
      </w:r>
      <w:r w:rsidRPr="004466F1">
        <w:t>rząd</w:t>
      </w:r>
      <w:r w:rsidRPr="004466F1">
        <w:t>o</w:t>
      </w:r>
      <w:r w:rsidRPr="004466F1">
        <w:t>wania”,</w:t>
      </w:r>
    </w:p>
    <w:p w:rsidR="00D45825" w:rsidRPr="004466F1" w:rsidRDefault="00D45825" w:rsidP="00325951">
      <w:pPr>
        <w:pStyle w:val="tekstprokuratury"/>
        <w:numPr>
          <w:ilvl w:val="0"/>
          <w:numId w:val="6"/>
        </w:numPr>
        <w:tabs>
          <w:tab w:val="clear" w:pos="1004"/>
          <w:tab w:val="num" w:pos="284"/>
        </w:tabs>
        <w:ind w:left="284" w:hanging="284"/>
        <w:rPr>
          <w:u w:val="single"/>
        </w:rPr>
      </w:pPr>
      <w:r w:rsidRPr="004466F1">
        <w:t>niebagatelne kwestie organizacyjne, dotyczące zarówno spraw kadr</w:t>
      </w:r>
      <w:r w:rsidRPr="004466F1">
        <w:t>o</w:t>
      </w:r>
      <w:r w:rsidRPr="004466F1">
        <w:t>wych</w:t>
      </w:r>
      <w:r w:rsidR="008B64EB">
        <w:t>,</w:t>
      </w:r>
      <w:r w:rsidRPr="004466F1">
        <w:t xml:space="preserve"> jak i technicznych, które nawarstwiają się w organach ścigania i</w:t>
      </w:r>
      <w:r w:rsidR="00821F40">
        <w:t> </w:t>
      </w:r>
      <w:r w:rsidRPr="004466F1">
        <w:t>prokuraturę od szeregu lat, a które warunkują lepsze funkcjonowanie tych struktur,</w:t>
      </w:r>
    </w:p>
    <w:p w:rsidR="00D45825" w:rsidRPr="004466F1" w:rsidRDefault="00D45825" w:rsidP="00325951">
      <w:pPr>
        <w:pStyle w:val="tekstprokuratury"/>
        <w:numPr>
          <w:ilvl w:val="0"/>
          <w:numId w:val="6"/>
        </w:numPr>
        <w:tabs>
          <w:tab w:val="clear" w:pos="1004"/>
          <w:tab w:val="num" w:pos="284"/>
        </w:tabs>
        <w:ind w:left="284" w:hanging="284"/>
        <w:rPr>
          <w:u w:val="single"/>
        </w:rPr>
      </w:pPr>
      <w:r w:rsidRPr="004466F1">
        <w:lastRenderedPageBreak/>
        <w:t>opracowanie standardu dowodzenia w poszczególnych r</w:t>
      </w:r>
      <w:r w:rsidRPr="004466F1">
        <w:t>o</w:t>
      </w:r>
      <w:r w:rsidRPr="004466F1">
        <w:t>dzajach spraw, co może realnie przyczynić się do skrócenia etapu postępowania przyg</w:t>
      </w:r>
      <w:r w:rsidRPr="004466F1">
        <w:t>o</w:t>
      </w:r>
      <w:r w:rsidRPr="004466F1">
        <w:t>towawczego,</w:t>
      </w:r>
    </w:p>
    <w:p w:rsidR="00D45825" w:rsidRPr="004466F1" w:rsidRDefault="00D45825" w:rsidP="00325951">
      <w:pPr>
        <w:pStyle w:val="tekstprokuratury"/>
        <w:numPr>
          <w:ilvl w:val="0"/>
          <w:numId w:val="6"/>
        </w:numPr>
        <w:tabs>
          <w:tab w:val="clear" w:pos="1004"/>
          <w:tab w:val="num" w:pos="284"/>
        </w:tabs>
        <w:ind w:left="284" w:hanging="284"/>
        <w:rPr>
          <w:u w:val="single"/>
        </w:rPr>
      </w:pPr>
      <w:r w:rsidRPr="004466F1">
        <w:t>dokończenie reformy prokuratury.</w:t>
      </w:r>
    </w:p>
    <w:p w:rsidR="00D45825" w:rsidRPr="00325951" w:rsidRDefault="00D45825" w:rsidP="004466F1">
      <w:pPr>
        <w:pStyle w:val="tekstprokuratury"/>
        <w:rPr>
          <w:lang w:val="en-US"/>
        </w:rPr>
      </w:pPr>
      <w:r w:rsidRPr="00325951">
        <w:t>I na koniec – z nadzieją chwytam i podtrzymuję myśl profesora Hofma</w:t>
      </w:r>
      <w:r w:rsidRPr="00325951">
        <w:t>ń</w:t>
      </w:r>
      <w:r w:rsidRPr="00325951">
        <w:t>skiego, że „być może postępowanie przygotowawcze powinno być przeb</w:t>
      </w:r>
      <w:r w:rsidRPr="00325951">
        <w:t>u</w:t>
      </w:r>
      <w:r w:rsidRPr="00325951">
        <w:t>dowane zasadniczo. Tego rodzaju przebudowa musi być jednak w</w:t>
      </w:r>
      <w:r w:rsidRPr="00325951">
        <w:t>i</w:t>
      </w:r>
      <w:r w:rsidRPr="00325951">
        <w:t>dziana w</w:t>
      </w:r>
      <w:r w:rsidR="00821F40">
        <w:t> </w:t>
      </w:r>
      <w:r w:rsidRPr="00325951">
        <w:t>dalszej perspektywie i musi uwzględniać pracochłonne prace st</w:t>
      </w:r>
      <w:r w:rsidRPr="00325951">
        <w:t>u</w:t>
      </w:r>
      <w:r w:rsidRPr="00325951">
        <w:t>dyjne, w</w:t>
      </w:r>
      <w:r w:rsidR="00821F40">
        <w:t> </w:t>
      </w:r>
      <w:r w:rsidRPr="00325951">
        <w:t>tym prawnoporównawcze”</w:t>
      </w:r>
      <w:r w:rsidR="00325951" w:rsidRPr="00325951">
        <w:t>.</w:t>
      </w:r>
      <w:r w:rsidR="004466F1" w:rsidRPr="00325951">
        <w:t xml:space="preserve"> </w:t>
      </w:r>
      <w:r w:rsidRPr="00325951">
        <w:t>W pełni się z nią zgadzam, dodam n</w:t>
      </w:r>
      <w:r w:rsidRPr="00325951">
        <w:t>a</w:t>
      </w:r>
      <w:r w:rsidRPr="00325951">
        <w:t>wet, że zmiana powinna uwzględnić bieżące sygnały z wdrożenia reformy wrz</w:t>
      </w:r>
      <w:r w:rsidRPr="00325951">
        <w:t>e</w:t>
      </w:r>
      <w:r w:rsidRPr="00325951">
        <w:t>śniowej, zwłaszcza w tym zakresie</w:t>
      </w:r>
      <w:r w:rsidR="008B64EB">
        <w:t>,</w:t>
      </w:r>
      <w:r w:rsidRPr="00325951">
        <w:t xml:space="preserve"> w którym wymogi kontradyktoryjnej ro</w:t>
      </w:r>
      <w:r w:rsidRPr="00325951">
        <w:t>z</w:t>
      </w:r>
      <w:r w:rsidRPr="00325951">
        <w:t>prawy postawią przed prowadzącymi postępowania całkiem nowe zad</w:t>
      </w:r>
      <w:r w:rsidRPr="00325951">
        <w:t>a</w:t>
      </w:r>
      <w:r w:rsidRPr="00325951">
        <w:t xml:space="preserve">nia. </w:t>
      </w:r>
      <w:r w:rsidRPr="00325951">
        <w:rPr>
          <w:lang w:val="en-US"/>
        </w:rPr>
        <w:t>Tym optymistycznym współbrzmieniem kończę swoją część dwugłosu.</w:t>
      </w:r>
    </w:p>
    <w:p w:rsidR="00D45825" w:rsidRDefault="00D45825" w:rsidP="004466F1">
      <w:pPr>
        <w:pStyle w:val="tekstprokuratury"/>
        <w:rPr>
          <w:lang w:val="en-US"/>
        </w:rPr>
      </w:pPr>
    </w:p>
    <w:p w:rsidR="00325951" w:rsidRPr="004466F1" w:rsidRDefault="00325951" w:rsidP="004466F1">
      <w:pPr>
        <w:pStyle w:val="tekstprokuratury"/>
        <w:rPr>
          <w:lang w:val="en-US"/>
        </w:rPr>
      </w:pPr>
    </w:p>
    <w:p w:rsidR="00D45825" w:rsidRPr="004466F1" w:rsidRDefault="00D45825" w:rsidP="00325951">
      <w:pPr>
        <w:pStyle w:val="tytulangielski"/>
        <w:rPr>
          <w:lang w:val="en-US"/>
        </w:rPr>
      </w:pPr>
      <w:r w:rsidRPr="004466F1">
        <w:rPr>
          <w:lang w:val="en-US"/>
        </w:rPr>
        <w:t>Two different approaches to the new model of preparatory proceedings</w:t>
      </w:r>
    </w:p>
    <w:p w:rsidR="00D45825" w:rsidRPr="004466F1" w:rsidRDefault="00D45825" w:rsidP="00325951">
      <w:pPr>
        <w:pStyle w:val="podtytulprokuratury"/>
        <w:rPr>
          <w:lang w:val="en-US"/>
        </w:rPr>
      </w:pPr>
      <w:r w:rsidRPr="004466F1">
        <w:rPr>
          <w:lang w:val="en-US"/>
        </w:rPr>
        <w:t>Abstract</w:t>
      </w:r>
    </w:p>
    <w:p w:rsidR="00D45825" w:rsidRPr="00B24E4E" w:rsidRDefault="00D45825" w:rsidP="004466F1">
      <w:pPr>
        <w:pStyle w:val="tekstprokuratury"/>
        <w:rPr>
          <w:i/>
          <w:iCs/>
          <w:szCs w:val="21"/>
          <w:lang w:val="en-GB"/>
        </w:rPr>
      </w:pPr>
      <w:r w:rsidRPr="00B24E4E">
        <w:rPr>
          <w:i/>
          <w:iCs/>
          <w:lang w:val="en-GB"/>
        </w:rPr>
        <w:t xml:space="preserve">The </w:t>
      </w:r>
      <w:r w:rsidR="00B24E4E" w:rsidRPr="00B24E4E">
        <w:rPr>
          <w:i/>
          <w:iCs/>
          <w:lang w:val="en-GB"/>
        </w:rPr>
        <w:t xml:space="preserve">first </w:t>
      </w:r>
      <w:r w:rsidRPr="00B24E4E">
        <w:rPr>
          <w:i/>
          <w:iCs/>
          <w:lang w:val="en-GB"/>
        </w:rPr>
        <w:t>author (</w:t>
      </w:r>
      <w:r w:rsidR="008B64EB" w:rsidRPr="00B24E4E">
        <w:rPr>
          <w:i/>
          <w:iCs/>
          <w:lang w:val="en-GB"/>
        </w:rPr>
        <w:t>p</w:t>
      </w:r>
      <w:r w:rsidRPr="00B24E4E">
        <w:rPr>
          <w:i/>
          <w:iCs/>
          <w:lang w:val="en-GB"/>
        </w:rPr>
        <w:t>art 1) supports the reform of criminal proceedings, i</w:t>
      </w:r>
      <w:r w:rsidRPr="00B24E4E">
        <w:rPr>
          <w:i/>
          <w:iCs/>
          <w:lang w:val="en-GB"/>
        </w:rPr>
        <w:t>n</w:t>
      </w:r>
      <w:r w:rsidRPr="00B24E4E">
        <w:rPr>
          <w:i/>
          <w:iCs/>
          <w:lang w:val="en-GB"/>
        </w:rPr>
        <w:t xml:space="preserve">cluding preparatory proceedings, considering the reform to be conservative and claiming that already the modification of the purpose of the proceedings, which purpose is now to collect, perpetuate, and document evidence to the extent necessary to substantiate an indictment or other relevant measure to finalize proceedings, clearly indicates that the model of the proceedings has been essentially reshaped. </w:t>
      </w:r>
      <w:r w:rsidR="008760E5" w:rsidRPr="00B24E4E">
        <w:rPr>
          <w:i/>
          <w:szCs w:val="21"/>
          <w:lang w:val="en-GB"/>
        </w:rPr>
        <w:t xml:space="preserve">In turn, the second author, referring to the new content of the provisions of the Code of Criminal Procedure argues that the change in aim of the preparatory proceedings, without introducing changes in other provisions of an executive nature, may not lead to the assumed changes in practical actions by </w:t>
      </w:r>
      <w:r w:rsidR="00B24E4E" w:rsidRPr="00B24E4E">
        <w:rPr>
          <w:i/>
          <w:szCs w:val="21"/>
          <w:lang w:val="en-GB"/>
        </w:rPr>
        <w:t>authorities re</w:t>
      </w:r>
      <w:r w:rsidR="00B24E4E">
        <w:rPr>
          <w:i/>
          <w:szCs w:val="21"/>
          <w:lang w:val="en-GB"/>
        </w:rPr>
        <w:t>sp</w:t>
      </w:r>
      <w:r w:rsidR="00B24E4E" w:rsidRPr="00B24E4E">
        <w:rPr>
          <w:i/>
          <w:szCs w:val="21"/>
          <w:lang w:val="en-GB"/>
        </w:rPr>
        <w:t>onsible for</w:t>
      </w:r>
      <w:r w:rsidR="008760E5" w:rsidRPr="00B24E4E">
        <w:rPr>
          <w:i/>
          <w:szCs w:val="21"/>
          <w:lang w:val="en-GB"/>
        </w:rPr>
        <w:t xml:space="preserve"> preparatory pr</w:t>
      </w:r>
      <w:r w:rsidR="008760E5" w:rsidRPr="00B24E4E">
        <w:rPr>
          <w:i/>
          <w:szCs w:val="21"/>
          <w:lang w:val="en-GB"/>
        </w:rPr>
        <w:t>o</w:t>
      </w:r>
      <w:r w:rsidR="008760E5" w:rsidRPr="00B24E4E">
        <w:rPr>
          <w:i/>
          <w:szCs w:val="21"/>
          <w:lang w:val="en-GB"/>
        </w:rPr>
        <w:t>ceedings, and quotes a series of arguments indicating difficulties in full r</w:t>
      </w:r>
      <w:r w:rsidR="008760E5" w:rsidRPr="00B24E4E">
        <w:rPr>
          <w:i/>
          <w:szCs w:val="21"/>
          <w:lang w:val="en-GB"/>
        </w:rPr>
        <w:t>e</w:t>
      </w:r>
      <w:r w:rsidR="008760E5" w:rsidRPr="00B24E4E">
        <w:rPr>
          <w:i/>
          <w:szCs w:val="21"/>
          <w:lang w:val="en-GB"/>
        </w:rPr>
        <w:t>construction of the new model.</w:t>
      </w:r>
    </w:p>
    <w:sectPr w:rsidR="00D45825" w:rsidRPr="00B24E4E" w:rsidSect="00734542">
      <w:headerReference w:type="even" r:id="rId7"/>
      <w:headerReference w:type="default" r:id="rId8"/>
      <w:footerReference w:type="even" r:id="rId9"/>
      <w:footerReference w:type="default" r:id="rId10"/>
      <w:pgSz w:w="11905" w:h="16837"/>
      <w:pgMar w:top="2835" w:right="2381" w:bottom="3686" w:left="2381" w:header="1985" w:footer="2835" w:gutter="0"/>
      <w:pgNumType w:start="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DE" w:rsidRDefault="00F077DE">
      <w:r>
        <w:separator/>
      </w:r>
    </w:p>
  </w:endnote>
  <w:endnote w:type="continuationSeparator" w:id="0">
    <w:p w:rsidR="00F077DE" w:rsidRDefault="00F07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CA" w:rsidRPr="000A701E" w:rsidRDefault="003243CA" w:rsidP="001A743E">
    <w:pPr>
      <w:pStyle w:val="Stopka"/>
      <w:framePr w:wrap="around" w:vAnchor="text" w:hAnchor="margin" w:xAlign="outside" w:y="1"/>
      <w:rPr>
        <w:rStyle w:val="Numerstrony"/>
        <w:rFonts w:ascii="Arial" w:hAnsi="Arial" w:cs="Arial"/>
        <w:sz w:val="18"/>
        <w:szCs w:val="18"/>
      </w:rPr>
    </w:pPr>
  </w:p>
  <w:p w:rsidR="003243CA" w:rsidRPr="000A701E" w:rsidRDefault="003243CA" w:rsidP="001A743E">
    <w:pPr>
      <w:pStyle w:val="Stopka"/>
      <w:framePr w:wrap="around" w:vAnchor="text" w:hAnchor="margin" w:xAlign="outside" w:y="1"/>
      <w:rPr>
        <w:rStyle w:val="Numerstrony"/>
        <w:rFonts w:ascii="Arial" w:hAnsi="Arial" w:cs="Arial"/>
        <w:sz w:val="18"/>
        <w:szCs w:val="18"/>
      </w:rPr>
    </w:pPr>
    <w:r w:rsidRPr="000A701E">
      <w:rPr>
        <w:rStyle w:val="Numerstrony"/>
        <w:rFonts w:ascii="Arial" w:hAnsi="Arial" w:cs="Arial"/>
        <w:sz w:val="18"/>
        <w:szCs w:val="18"/>
      </w:rPr>
      <w:fldChar w:fldCharType="begin"/>
    </w:r>
    <w:r w:rsidRPr="000A701E">
      <w:rPr>
        <w:rStyle w:val="Numerstrony"/>
        <w:rFonts w:ascii="Arial" w:hAnsi="Arial" w:cs="Arial"/>
        <w:sz w:val="18"/>
        <w:szCs w:val="18"/>
      </w:rPr>
      <w:instrText xml:space="preserve">PAGE  </w:instrText>
    </w:r>
    <w:r w:rsidRPr="000A701E">
      <w:rPr>
        <w:rStyle w:val="Numerstrony"/>
        <w:rFonts w:ascii="Arial" w:hAnsi="Arial" w:cs="Arial"/>
        <w:sz w:val="18"/>
        <w:szCs w:val="18"/>
      </w:rPr>
      <w:fldChar w:fldCharType="separate"/>
    </w:r>
    <w:r w:rsidR="00C81970">
      <w:rPr>
        <w:rStyle w:val="Numerstrony"/>
        <w:rFonts w:ascii="Arial" w:hAnsi="Arial" w:cs="Arial"/>
        <w:noProof/>
        <w:sz w:val="18"/>
        <w:szCs w:val="18"/>
      </w:rPr>
      <w:t>90</w:t>
    </w:r>
    <w:r w:rsidRPr="000A701E">
      <w:rPr>
        <w:rStyle w:val="Numerstrony"/>
        <w:rFonts w:ascii="Arial" w:hAnsi="Arial" w:cs="Arial"/>
        <w:sz w:val="18"/>
        <w:szCs w:val="18"/>
      </w:rPr>
      <w:fldChar w:fldCharType="end"/>
    </w:r>
  </w:p>
  <w:p w:rsidR="003243CA" w:rsidRDefault="003243CA" w:rsidP="000A701E">
    <w:pPr>
      <w:pStyle w:val="Stopka"/>
      <w:tabs>
        <w:tab w:val="left" w:pos="7088"/>
      </w:tabs>
      <w:ind w:firstLine="357"/>
      <w:jc w:val="right"/>
      <w:rPr>
        <w:rFonts w:ascii="Helvetica" w:hAnsi="Helvetica"/>
        <w:i/>
        <w:sz w:val="16"/>
      </w:rPr>
    </w:pPr>
    <w:r>
      <w:rPr>
        <w:rFonts w:ascii="Helvetica" w:hAnsi="Helvetica"/>
        <w:i/>
        <w:sz w:val="16"/>
      </w:rPr>
      <w:t xml:space="preserve">Prokuratura </w:t>
    </w:r>
  </w:p>
  <w:p w:rsidR="003243CA" w:rsidRDefault="003243CA">
    <w:pPr>
      <w:pStyle w:val="Stopka"/>
      <w:ind w:right="-1"/>
      <w:jc w:val="right"/>
      <w:rPr>
        <w:rFonts w:ascii="Helvetica" w:hAnsi="Helvetica"/>
        <w:i/>
        <w:sz w:val="16"/>
      </w:rPr>
    </w:pPr>
    <w:r>
      <w:rPr>
        <w:rFonts w:ascii="Helvetica" w:hAnsi="Helvetica"/>
        <w:i/>
        <w:sz w:val="16"/>
      </w:rPr>
      <w:t xml:space="preserve">i Prawo 1–2, 2015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CA" w:rsidRDefault="003243CA" w:rsidP="001A743E">
    <w:pPr>
      <w:pStyle w:val="Stopka"/>
      <w:framePr w:wrap="around" w:vAnchor="text" w:hAnchor="margin" w:xAlign="outside" w:y="1"/>
      <w:rPr>
        <w:rStyle w:val="Numerstrony"/>
        <w:rFonts w:ascii="Arial" w:hAnsi="Arial" w:cs="Arial"/>
        <w:sz w:val="18"/>
        <w:szCs w:val="18"/>
      </w:rPr>
    </w:pPr>
  </w:p>
  <w:p w:rsidR="003243CA" w:rsidRPr="000A701E" w:rsidRDefault="003243CA" w:rsidP="000A701E">
    <w:pPr>
      <w:pStyle w:val="Stopka"/>
      <w:framePr w:wrap="around" w:vAnchor="text" w:hAnchor="margin" w:xAlign="outside" w:y="1"/>
      <w:jc w:val="right"/>
      <w:rPr>
        <w:rStyle w:val="Numerstrony"/>
        <w:rFonts w:ascii="Arial" w:hAnsi="Arial" w:cs="Arial"/>
        <w:sz w:val="18"/>
        <w:szCs w:val="18"/>
      </w:rPr>
    </w:pPr>
    <w:r w:rsidRPr="000A701E">
      <w:rPr>
        <w:rStyle w:val="Numerstrony"/>
        <w:rFonts w:ascii="Arial" w:hAnsi="Arial" w:cs="Arial"/>
        <w:sz w:val="18"/>
        <w:szCs w:val="18"/>
      </w:rPr>
      <w:fldChar w:fldCharType="begin"/>
    </w:r>
    <w:r w:rsidRPr="000A701E">
      <w:rPr>
        <w:rStyle w:val="Numerstrony"/>
        <w:rFonts w:ascii="Arial" w:hAnsi="Arial" w:cs="Arial"/>
        <w:sz w:val="18"/>
        <w:szCs w:val="18"/>
      </w:rPr>
      <w:instrText xml:space="preserve">PAGE  </w:instrText>
    </w:r>
    <w:r w:rsidRPr="000A701E">
      <w:rPr>
        <w:rStyle w:val="Numerstrony"/>
        <w:rFonts w:ascii="Arial" w:hAnsi="Arial" w:cs="Arial"/>
        <w:sz w:val="18"/>
        <w:szCs w:val="18"/>
      </w:rPr>
      <w:fldChar w:fldCharType="separate"/>
    </w:r>
    <w:r w:rsidR="00C81970">
      <w:rPr>
        <w:rStyle w:val="Numerstrony"/>
        <w:rFonts w:ascii="Arial" w:hAnsi="Arial" w:cs="Arial"/>
        <w:noProof/>
        <w:sz w:val="18"/>
        <w:szCs w:val="18"/>
      </w:rPr>
      <w:t>91</w:t>
    </w:r>
    <w:r w:rsidRPr="000A701E">
      <w:rPr>
        <w:rStyle w:val="Numerstrony"/>
        <w:rFonts w:ascii="Arial" w:hAnsi="Arial" w:cs="Arial"/>
        <w:sz w:val="18"/>
        <w:szCs w:val="18"/>
      </w:rPr>
      <w:fldChar w:fldCharType="end"/>
    </w:r>
  </w:p>
  <w:p w:rsidR="003243CA" w:rsidRDefault="003243CA" w:rsidP="000A701E">
    <w:pPr>
      <w:pStyle w:val="Stopka"/>
      <w:ind w:right="360"/>
      <w:rPr>
        <w:rFonts w:ascii="Helvetica" w:hAnsi="Helvetica"/>
        <w:i/>
        <w:sz w:val="16"/>
      </w:rPr>
    </w:pPr>
    <w:r>
      <w:rPr>
        <w:rFonts w:ascii="Helvetica" w:hAnsi="Helvetica"/>
        <w:i/>
        <w:sz w:val="16"/>
      </w:rPr>
      <w:t>Prokuratura</w:t>
    </w:r>
  </w:p>
  <w:p w:rsidR="003243CA" w:rsidRDefault="003243CA">
    <w:pPr>
      <w:pStyle w:val="Stopka"/>
      <w:ind w:right="360"/>
      <w:rPr>
        <w:rFonts w:ascii="Helvetica" w:hAnsi="Helvetica"/>
        <w:i/>
        <w:sz w:val="16"/>
      </w:rPr>
    </w:pPr>
    <w:r>
      <w:rPr>
        <w:rFonts w:ascii="Helvetica" w:hAnsi="Helvetica"/>
        <w:i/>
        <w:sz w:val="16"/>
      </w:rPr>
      <w:t>i Prawo 1–2,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DE" w:rsidRDefault="00F077DE">
      <w:r>
        <w:separator/>
      </w:r>
    </w:p>
  </w:footnote>
  <w:footnote w:type="continuationSeparator" w:id="0">
    <w:p w:rsidR="00F077DE" w:rsidRDefault="00F077DE">
      <w:r>
        <w:continuationSeparator/>
      </w:r>
    </w:p>
  </w:footnote>
  <w:footnote w:id="1">
    <w:p w:rsidR="003243CA" w:rsidRPr="004466F1" w:rsidRDefault="003243CA" w:rsidP="004466F1">
      <w:pPr>
        <w:pStyle w:val="przypisy"/>
        <w:rPr>
          <w:rFonts w:ascii="Arial" w:hAnsi="Arial" w:cs="Arial"/>
        </w:rPr>
      </w:pPr>
      <w:r w:rsidRPr="004466F1">
        <w:rPr>
          <w:rStyle w:val="Odwoanieprzypisudolnego"/>
          <w:rFonts w:ascii="Arial" w:hAnsi="Arial" w:cs="Arial"/>
          <w:szCs w:val="17"/>
        </w:rPr>
        <w:footnoteRef/>
      </w:r>
      <w:r w:rsidRPr="004466F1">
        <w:rPr>
          <w:rFonts w:ascii="Arial" w:hAnsi="Arial" w:cs="Arial"/>
        </w:rPr>
        <w:t xml:space="preserve"> Dz. U. </w:t>
      </w:r>
      <w:r>
        <w:rPr>
          <w:rFonts w:ascii="Arial" w:hAnsi="Arial" w:cs="Arial"/>
        </w:rPr>
        <w:t xml:space="preserve">z </w:t>
      </w:r>
      <w:r w:rsidRPr="004466F1">
        <w:rPr>
          <w:rFonts w:ascii="Arial" w:hAnsi="Arial" w:cs="Arial"/>
        </w:rPr>
        <w:t>2013</w:t>
      </w:r>
      <w:r>
        <w:rPr>
          <w:rFonts w:ascii="Arial" w:hAnsi="Arial" w:cs="Arial"/>
        </w:rPr>
        <w:t xml:space="preserve"> r.</w:t>
      </w:r>
      <w:r w:rsidRPr="004466F1">
        <w:rPr>
          <w:rFonts w:ascii="Arial" w:hAnsi="Arial" w:cs="Arial"/>
        </w:rPr>
        <w:t>, poz. 1247</w:t>
      </w:r>
      <w:r>
        <w:rPr>
          <w:rFonts w:ascii="Arial" w:hAnsi="Arial" w:cs="Arial"/>
        </w:rPr>
        <w:t>.</w:t>
      </w:r>
    </w:p>
  </w:footnote>
  <w:footnote w:id="2">
    <w:p w:rsidR="003243CA" w:rsidRPr="004466F1" w:rsidRDefault="003243CA" w:rsidP="004466F1">
      <w:pPr>
        <w:pStyle w:val="przypisy"/>
        <w:rPr>
          <w:rFonts w:ascii="Arial" w:hAnsi="Arial" w:cs="Arial"/>
        </w:rPr>
      </w:pPr>
      <w:r w:rsidRPr="004466F1">
        <w:rPr>
          <w:rStyle w:val="Odwoanieprzypisudolnego"/>
          <w:rFonts w:ascii="Arial" w:hAnsi="Arial" w:cs="Arial"/>
          <w:szCs w:val="17"/>
        </w:rPr>
        <w:footnoteRef/>
      </w:r>
      <w:r w:rsidRPr="004466F1">
        <w:rPr>
          <w:rFonts w:ascii="Arial" w:hAnsi="Arial" w:cs="Arial"/>
        </w:rPr>
        <w:t xml:space="preserve"> </w:t>
      </w:r>
      <w:r>
        <w:rPr>
          <w:rFonts w:ascii="Arial" w:hAnsi="Arial" w:cs="Arial"/>
        </w:rPr>
        <w:tab/>
      </w:r>
      <w:r w:rsidRPr="004466F1">
        <w:rPr>
          <w:rFonts w:ascii="Arial" w:hAnsi="Arial" w:cs="Arial"/>
        </w:rPr>
        <w:t>Zob. uzasadnienie projektu w zeszycie specjalnym Biuletynu Komisji Kodyfikacyjnej Prawa Karnego, Warszawa 2012</w:t>
      </w:r>
      <w:r>
        <w:rPr>
          <w:rFonts w:ascii="Arial" w:hAnsi="Arial" w:cs="Arial"/>
        </w:rPr>
        <w:t>.</w:t>
      </w:r>
    </w:p>
  </w:footnote>
  <w:footnote w:id="3">
    <w:p w:rsidR="003243CA" w:rsidRPr="004466F1" w:rsidRDefault="003243CA" w:rsidP="004466F1">
      <w:pPr>
        <w:pStyle w:val="przypisy"/>
        <w:rPr>
          <w:rFonts w:ascii="Arial" w:hAnsi="Arial" w:cs="Arial"/>
        </w:rPr>
      </w:pPr>
      <w:r w:rsidRPr="004466F1">
        <w:rPr>
          <w:rStyle w:val="Odwoanieprzypisudolnego"/>
          <w:rFonts w:ascii="Arial" w:hAnsi="Arial" w:cs="Arial"/>
          <w:szCs w:val="17"/>
        </w:rPr>
        <w:footnoteRef/>
      </w:r>
      <w:r w:rsidRPr="004466F1">
        <w:rPr>
          <w:rFonts w:ascii="Arial" w:hAnsi="Arial" w:cs="Arial"/>
        </w:rPr>
        <w:t xml:space="preserve"> </w:t>
      </w:r>
      <w:r>
        <w:rPr>
          <w:rFonts w:ascii="Arial" w:hAnsi="Arial" w:cs="Arial"/>
        </w:rPr>
        <w:tab/>
      </w:r>
      <w:r w:rsidRPr="004466F1">
        <w:rPr>
          <w:rFonts w:ascii="Arial" w:hAnsi="Arial" w:cs="Arial"/>
        </w:rPr>
        <w:t xml:space="preserve">Powołane tu – bez dalszego komentarza – przepisy k.p.k. są przepisami kodeksu w wersji znowelizowanej ustawą z dnia 27 września 2013 r. </w:t>
      </w:r>
    </w:p>
  </w:footnote>
  <w:footnote w:id="4">
    <w:p w:rsidR="003243CA" w:rsidRPr="004466F1" w:rsidRDefault="003243CA" w:rsidP="004466F1">
      <w:pPr>
        <w:pStyle w:val="przypisy"/>
        <w:rPr>
          <w:rFonts w:ascii="Arial" w:hAnsi="Arial" w:cs="Arial"/>
        </w:rPr>
      </w:pPr>
      <w:r w:rsidRPr="004466F1">
        <w:rPr>
          <w:rStyle w:val="Odwoanieprzypisudolnego"/>
          <w:rFonts w:ascii="Arial" w:hAnsi="Arial" w:cs="Arial"/>
          <w:szCs w:val="17"/>
        </w:rPr>
        <w:footnoteRef/>
      </w:r>
      <w:r w:rsidRPr="004466F1">
        <w:rPr>
          <w:rFonts w:ascii="Arial" w:hAnsi="Arial" w:cs="Arial"/>
        </w:rPr>
        <w:t xml:space="preserve"> </w:t>
      </w:r>
      <w:r>
        <w:rPr>
          <w:rFonts w:ascii="Arial" w:hAnsi="Arial" w:cs="Arial"/>
        </w:rPr>
        <w:tab/>
      </w:r>
      <w:r w:rsidRPr="004466F1">
        <w:rPr>
          <w:rFonts w:ascii="Arial" w:hAnsi="Arial" w:cs="Arial"/>
        </w:rPr>
        <w:t xml:space="preserve">W ujęciu M. </w:t>
      </w:r>
      <w:r w:rsidRPr="00BC6F69">
        <w:rPr>
          <w:rFonts w:ascii="Arial" w:hAnsi="Arial" w:cs="Arial"/>
          <w:spacing w:val="32"/>
        </w:rPr>
        <w:t>Cieślak</w:t>
      </w:r>
      <w:r w:rsidRPr="004466F1">
        <w:rPr>
          <w:rFonts w:ascii="Arial" w:hAnsi="Arial" w:cs="Arial"/>
        </w:rPr>
        <w:t>a (Polska procedura karna. Podstawowe założenia teoretyczne, Kr</w:t>
      </w:r>
      <w:r w:rsidRPr="004466F1">
        <w:rPr>
          <w:rFonts w:ascii="Arial" w:hAnsi="Arial" w:cs="Arial"/>
        </w:rPr>
        <w:t>a</w:t>
      </w:r>
      <w:r w:rsidRPr="004466F1">
        <w:rPr>
          <w:rFonts w:ascii="Arial" w:hAnsi="Arial" w:cs="Arial"/>
        </w:rPr>
        <w:t>ków 2011, s. 257) „organ procesowy postępuje niezgodnie z zasadą obiektywizmu, gdy prz</w:t>
      </w:r>
      <w:r w:rsidRPr="004466F1">
        <w:rPr>
          <w:rFonts w:ascii="Arial" w:hAnsi="Arial" w:cs="Arial"/>
        </w:rPr>
        <w:t>y</w:t>
      </w:r>
      <w:r w:rsidRPr="004466F1">
        <w:rPr>
          <w:rFonts w:ascii="Arial" w:hAnsi="Arial" w:cs="Arial"/>
        </w:rPr>
        <w:t xml:space="preserve">stępuje do sprawy </w:t>
      </w:r>
      <w:r w:rsidRPr="008B64EB">
        <w:rPr>
          <w:rFonts w:ascii="Arial" w:hAnsi="Arial" w:cs="Arial"/>
          <w:u w:val="single"/>
        </w:rPr>
        <w:t>z uprzednim nastawieniem</w:t>
      </w:r>
      <w:r w:rsidRPr="004466F1">
        <w:rPr>
          <w:rFonts w:ascii="Arial" w:hAnsi="Arial" w:cs="Arial"/>
        </w:rPr>
        <w:t xml:space="preserve"> (podkr. </w:t>
      </w:r>
      <w:r>
        <w:rPr>
          <w:rFonts w:ascii="Arial" w:hAnsi="Arial" w:cs="Arial"/>
        </w:rPr>
        <w:t>autora</w:t>
      </w:r>
      <w:r w:rsidRPr="004466F1">
        <w:rPr>
          <w:rFonts w:ascii="Arial" w:hAnsi="Arial" w:cs="Arial"/>
        </w:rPr>
        <w:t>)</w:t>
      </w:r>
      <w:r>
        <w:rPr>
          <w:rFonts w:ascii="Arial" w:hAnsi="Arial" w:cs="Arial"/>
        </w:rPr>
        <w:t>,</w:t>
      </w:r>
      <w:r w:rsidRPr="004466F1">
        <w:rPr>
          <w:rFonts w:ascii="Arial" w:hAnsi="Arial" w:cs="Arial"/>
        </w:rPr>
        <w:t xml:space="preserve"> zwłaszcza z odpowiednim apriorycznym wyobrażeniem o właściwym jej rozstrzygnięciu, a całe prowadzone przez siebie postępowanie traktuje tylko jako weryfikacje tej swojej koncepcji lub </w:t>
      </w:r>
      <w:r>
        <w:rPr>
          <w:rFonts w:ascii="Arial" w:hAnsi="Arial" w:cs="Arial"/>
        </w:rPr>
        <w:t xml:space="preserve">– </w:t>
      </w:r>
      <w:r w:rsidRPr="004466F1">
        <w:rPr>
          <w:rFonts w:ascii="Arial" w:hAnsi="Arial" w:cs="Arial"/>
        </w:rPr>
        <w:t>co gorzej – poszuk</w:t>
      </w:r>
      <w:r w:rsidRPr="004466F1">
        <w:rPr>
          <w:rFonts w:ascii="Arial" w:hAnsi="Arial" w:cs="Arial"/>
        </w:rPr>
        <w:t>i</w:t>
      </w:r>
      <w:r w:rsidRPr="004466F1">
        <w:rPr>
          <w:rFonts w:ascii="Arial" w:hAnsi="Arial" w:cs="Arial"/>
        </w:rPr>
        <w:t>wanie jej uzasadni</w:t>
      </w:r>
      <w:r w:rsidRPr="004466F1">
        <w:rPr>
          <w:rFonts w:ascii="Arial" w:hAnsi="Arial" w:cs="Arial"/>
        </w:rPr>
        <w:t>e</w:t>
      </w:r>
      <w:r w:rsidRPr="004466F1">
        <w:rPr>
          <w:rFonts w:ascii="Arial" w:hAnsi="Arial" w:cs="Arial"/>
        </w:rPr>
        <w:t>nia”.</w:t>
      </w:r>
    </w:p>
  </w:footnote>
  <w:footnote w:id="5">
    <w:p w:rsidR="003243CA" w:rsidRPr="008B64EB" w:rsidRDefault="003243CA" w:rsidP="004466F1">
      <w:pPr>
        <w:pStyle w:val="przypisy"/>
        <w:rPr>
          <w:rFonts w:ascii="Arial" w:hAnsi="Arial" w:cs="Arial"/>
          <w:spacing w:val="-2"/>
        </w:rPr>
      </w:pPr>
      <w:r w:rsidRPr="004466F1">
        <w:rPr>
          <w:rStyle w:val="Odwoanieprzypisudolnego"/>
          <w:rFonts w:ascii="Arial" w:hAnsi="Arial" w:cs="Arial"/>
          <w:szCs w:val="17"/>
        </w:rPr>
        <w:footnoteRef/>
      </w:r>
      <w:r w:rsidRPr="004466F1">
        <w:rPr>
          <w:rFonts w:ascii="Arial" w:hAnsi="Arial" w:cs="Arial"/>
        </w:rPr>
        <w:t xml:space="preserve"> </w:t>
      </w:r>
      <w:r>
        <w:rPr>
          <w:rFonts w:ascii="Arial" w:hAnsi="Arial" w:cs="Arial"/>
        </w:rPr>
        <w:tab/>
        <w:t>Tak n</w:t>
      </w:r>
      <w:r w:rsidRPr="004466F1">
        <w:rPr>
          <w:rFonts w:ascii="Arial" w:hAnsi="Arial" w:cs="Arial"/>
        </w:rPr>
        <w:t xml:space="preserve">p. S. </w:t>
      </w:r>
      <w:r w:rsidRPr="00BC6F69">
        <w:rPr>
          <w:rFonts w:ascii="Arial" w:hAnsi="Arial" w:cs="Arial"/>
          <w:spacing w:val="32"/>
        </w:rPr>
        <w:t>Walto</w:t>
      </w:r>
      <w:r w:rsidRPr="004466F1">
        <w:rPr>
          <w:rFonts w:ascii="Arial" w:hAnsi="Arial" w:cs="Arial"/>
        </w:rPr>
        <w:t>ś</w:t>
      </w:r>
      <w:r>
        <w:rPr>
          <w:rFonts w:ascii="Arial" w:hAnsi="Arial" w:cs="Arial"/>
        </w:rPr>
        <w:t xml:space="preserve">, (w:) </w:t>
      </w:r>
      <w:r w:rsidRPr="004466F1">
        <w:rPr>
          <w:rFonts w:ascii="Arial" w:hAnsi="Arial" w:cs="Arial"/>
        </w:rPr>
        <w:t xml:space="preserve">S. </w:t>
      </w:r>
      <w:r w:rsidRPr="00BC6F69">
        <w:rPr>
          <w:rFonts w:ascii="Arial" w:hAnsi="Arial" w:cs="Arial"/>
          <w:spacing w:val="32"/>
        </w:rPr>
        <w:t>Walto</w:t>
      </w:r>
      <w:r w:rsidRPr="004466F1">
        <w:rPr>
          <w:rFonts w:ascii="Arial" w:hAnsi="Arial" w:cs="Arial"/>
        </w:rPr>
        <w:t xml:space="preserve">ś, P. </w:t>
      </w:r>
      <w:r w:rsidRPr="00BC6F69">
        <w:rPr>
          <w:rFonts w:ascii="Arial" w:hAnsi="Arial" w:cs="Arial"/>
          <w:spacing w:val="32"/>
        </w:rPr>
        <w:t>Hofmańsk</w:t>
      </w:r>
      <w:r w:rsidRPr="004466F1">
        <w:rPr>
          <w:rFonts w:ascii="Arial" w:hAnsi="Arial" w:cs="Arial"/>
        </w:rPr>
        <w:t>i, Proces karny. Zarys systemu, Wa</w:t>
      </w:r>
      <w:r w:rsidRPr="004466F1">
        <w:rPr>
          <w:rFonts w:ascii="Arial" w:hAnsi="Arial" w:cs="Arial"/>
        </w:rPr>
        <w:t>r</w:t>
      </w:r>
      <w:r w:rsidRPr="004466F1">
        <w:rPr>
          <w:rFonts w:ascii="Arial" w:hAnsi="Arial" w:cs="Arial"/>
        </w:rPr>
        <w:t xml:space="preserve">szawa 2013, s. 223 oraz J. </w:t>
      </w:r>
      <w:r w:rsidRPr="00BC6F69">
        <w:rPr>
          <w:rFonts w:ascii="Arial" w:hAnsi="Arial" w:cs="Arial"/>
          <w:spacing w:val="32"/>
        </w:rPr>
        <w:t>Tylma</w:t>
      </w:r>
      <w:r w:rsidRPr="004466F1">
        <w:rPr>
          <w:rFonts w:ascii="Arial" w:hAnsi="Arial" w:cs="Arial"/>
        </w:rPr>
        <w:t>n</w:t>
      </w:r>
      <w:r>
        <w:rPr>
          <w:rFonts w:ascii="Arial" w:hAnsi="Arial" w:cs="Arial"/>
        </w:rPr>
        <w:t xml:space="preserve">, (w:) </w:t>
      </w:r>
      <w:r w:rsidRPr="004466F1">
        <w:rPr>
          <w:rFonts w:ascii="Arial" w:hAnsi="Arial" w:cs="Arial"/>
        </w:rPr>
        <w:t xml:space="preserve">J. </w:t>
      </w:r>
      <w:r w:rsidRPr="00BC6F69">
        <w:rPr>
          <w:rFonts w:ascii="Arial" w:hAnsi="Arial" w:cs="Arial"/>
          <w:spacing w:val="32"/>
        </w:rPr>
        <w:t>Tylma</w:t>
      </w:r>
      <w:r w:rsidRPr="004466F1">
        <w:rPr>
          <w:rFonts w:ascii="Arial" w:hAnsi="Arial" w:cs="Arial"/>
        </w:rPr>
        <w:t xml:space="preserve">n, T. </w:t>
      </w:r>
      <w:r w:rsidRPr="00BC6F69">
        <w:rPr>
          <w:rFonts w:ascii="Arial" w:hAnsi="Arial" w:cs="Arial"/>
          <w:spacing w:val="32"/>
        </w:rPr>
        <w:t>Grzegorczy</w:t>
      </w:r>
      <w:r w:rsidRPr="004466F1">
        <w:rPr>
          <w:rFonts w:ascii="Arial" w:hAnsi="Arial" w:cs="Arial"/>
        </w:rPr>
        <w:t>k, Polskie post</w:t>
      </w:r>
      <w:r w:rsidRPr="004466F1">
        <w:rPr>
          <w:rFonts w:ascii="Arial" w:hAnsi="Arial" w:cs="Arial"/>
        </w:rPr>
        <w:t>ę</w:t>
      </w:r>
      <w:r w:rsidRPr="008B64EB">
        <w:rPr>
          <w:rFonts w:ascii="Arial" w:hAnsi="Arial" w:cs="Arial"/>
          <w:spacing w:val="-2"/>
        </w:rPr>
        <w:t>powanie karne, Warszawa 2011, s. 101, którzy odnoszą ją także do oskarżyciela publiczn</w:t>
      </w:r>
      <w:r w:rsidRPr="008B64EB">
        <w:rPr>
          <w:rFonts w:ascii="Arial" w:hAnsi="Arial" w:cs="Arial"/>
          <w:spacing w:val="-2"/>
        </w:rPr>
        <w:t>e</w:t>
      </w:r>
      <w:r w:rsidRPr="008B64EB">
        <w:rPr>
          <w:rFonts w:ascii="Arial" w:hAnsi="Arial" w:cs="Arial"/>
          <w:spacing w:val="-2"/>
        </w:rPr>
        <w:t>go.</w:t>
      </w:r>
    </w:p>
  </w:footnote>
  <w:footnote w:id="6">
    <w:p w:rsidR="003243CA" w:rsidRPr="004466F1" w:rsidRDefault="003243CA" w:rsidP="004466F1">
      <w:pPr>
        <w:pStyle w:val="przypisy"/>
        <w:rPr>
          <w:rFonts w:ascii="Arial" w:hAnsi="Arial" w:cs="Arial"/>
        </w:rPr>
      </w:pPr>
      <w:r w:rsidRPr="004466F1">
        <w:rPr>
          <w:rStyle w:val="Odwoanieprzypisudolnego"/>
          <w:rFonts w:ascii="Arial" w:hAnsi="Arial" w:cs="Arial"/>
          <w:szCs w:val="17"/>
        </w:rPr>
        <w:footnoteRef/>
      </w:r>
      <w:r w:rsidRPr="004466F1">
        <w:rPr>
          <w:rFonts w:ascii="Arial" w:hAnsi="Arial" w:cs="Arial"/>
        </w:rPr>
        <w:t xml:space="preserve"> </w:t>
      </w:r>
      <w:r>
        <w:rPr>
          <w:rFonts w:ascii="Arial" w:hAnsi="Arial" w:cs="Arial"/>
        </w:rPr>
        <w:tab/>
      </w:r>
      <w:r w:rsidRPr="004466F1">
        <w:rPr>
          <w:rFonts w:ascii="Arial" w:hAnsi="Arial" w:cs="Arial"/>
        </w:rPr>
        <w:t>Trudną do pokonania barierą jest tu potrzeba realizacji – także w trybach konsensualnych – zasady prawdy</w:t>
      </w:r>
      <w:r w:rsidR="00B24E4E">
        <w:rPr>
          <w:rFonts w:ascii="Arial" w:hAnsi="Arial" w:cs="Arial"/>
        </w:rPr>
        <w:t>; z</w:t>
      </w:r>
      <w:r w:rsidRPr="004466F1">
        <w:rPr>
          <w:rFonts w:ascii="Arial" w:hAnsi="Arial" w:cs="Arial"/>
        </w:rPr>
        <w:t>ob. np.</w:t>
      </w:r>
      <w:r>
        <w:rPr>
          <w:rFonts w:ascii="Arial" w:hAnsi="Arial" w:cs="Arial"/>
        </w:rPr>
        <w:t>:</w:t>
      </w:r>
      <w:r w:rsidRPr="004466F1">
        <w:rPr>
          <w:rFonts w:ascii="Arial" w:hAnsi="Arial" w:cs="Arial"/>
        </w:rPr>
        <w:t xml:space="preserve"> B. </w:t>
      </w:r>
      <w:r w:rsidRPr="00BC6F69">
        <w:rPr>
          <w:rFonts w:ascii="Arial" w:hAnsi="Arial" w:cs="Arial"/>
          <w:spacing w:val="32"/>
        </w:rPr>
        <w:t>Nit</w:t>
      </w:r>
      <w:r w:rsidRPr="004466F1">
        <w:rPr>
          <w:rFonts w:ascii="Arial" w:hAnsi="Arial" w:cs="Arial"/>
        </w:rPr>
        <w:t xml:space="preserve">a, A. </w:t>
      </w:r>
      <w:r w:rsidRPr="00BC6F69">
        <w:rPr>
          <w:rFonts w:ascii="Arial" w:hAnsi="Arial" w:cs="Arial"/>
          <w:spacing w:val="32"/>
        </w:rPr>
        <w:t>Światłowsk</w:t>
      </w:r>
      <w:r w:rsidRPr="004466F1">
        <w:rPr>
          <w:rFonts w:ascii="Arial" w:hAnsi="Arial" w:cs="Arial"/>
        </w:rPr>
        <w:t>i, Kontradyktoryjny proces karny (mi</w:t>
      </w:r>
      <w:r w:rsidRPr="004466F1">
        <w:rPr>
          <w:rFonts w:ascii="Arial" w:hAnsi="Arial" w:cs="Arial"/>
        </w:rPr>
        <w:t>ę</w:t>
      </w:r>
      <w:r w:rsidRPr="004466F1">
        <w:rPr>
          <w:rFonts w:ascii="Arial" w:hAnsi="Arial" w:cs="Arial"/>
        </w:rPr>
        <w:t xml:space="preserve">dzy prawdą materialną a szybkością postępowania), PiP 2012, nr 1; P. </w:t>
      </w:r>
      <w:r w:rsidRPr="00BC6F69">
        <w:rPr>
          <w:rFonts w:ascii="Arial" w:hAnsi="Arial" w:cs="Arial"/>
          <w:spacing w:val="32"/>
        </w:rPr>
        <w:t>Karda</w:t>
      </w:r>
      <w:r w:rsidRPr="00BC6F69">
        <w:rPr>
          <w:rFonts w:ascii="Arial" w:hAnsi="Arial" w:cs="Arial"/>
        </w:rPr>
        <w:t>s</w:t>
      </w:r>
      <w:r w:rsidRPr="004466F1">
        <w:rPr>
          <w:rFonts w:ascii="Arial" w:hAnsi="Arial" w:cs="Arial"/>
        </w:rPr>
        <w:t>, Projekt</w:t>
      </w:r>
      <w:r w:rsidRPr="004466F1">
        <w:rPr>
          <w:rFonts w:ascii="Arial" w:hAnsi="Arial" w:cs="Arial"/>
        </w:rPr>
        <w:t>o</w:t>
      </w:r>
      <w:r w:rsidRPr="004466F1">
        <w:rPr>
          <w:rFonts w:ascii="Arial" w:hAnsi="Arial" w:cs="Arial"/>
        </w:rPr>
        <w:t>wany model obrony z urzędu a zasada prawdy materialnej, Palestra 2013, nr</w:t>
      </w:r>
      <w:r>
        <w:rPr>
          <w:rFonts w:ascii="Arial" w:hAnsi="Arial" w:cs="Arial"/>
        </w:rPr>
        <w:t xml:space="preserve"> </w:t>
      </w:r>
      <w:r w:rsidRPr="004466F1">
        <w:rPr>
          <w:rFonts w:ascii="Arial" w:hAnsi="Arial" w:cs="Arial"/>
        </w:rPr>
        <w:t>5–6.</w:t>
      </w:r>
    </w:p>
  </w:footnote>
  <w:footnote w:id="7">
    <w:p w:rsidR="003243CA" w:rsidRPr="004466F1" w:rsidRDefault="003243CA" w:rsidP="004466F1">
      <w:pPr>
        <w:pStyle w:val="przypisy"/>
        <w:rPr>
          <w:rFonts w:ascii="Arial" w:hAnsi="Arial" w:cs="Arial"/>
        </w:rPr>
      </w:pPr>
      <w:r w:rsidRPr="004466F1">
        <w:rPr>
          <w:rStyle w:val="Odwoanieprzypisudolnego"/>
          <w:rFonts w:ascii="Arial" w:hAnsi="Arial" w:cs="Arial"/>
          <w:szCs w:val="17"/>
        </w:rPr>
        <w:footnoteRef/>
      </w:r>
      <w:r w:rsidRPr="004466F1">
        <w:rPr>
          <w:rFonts w:ascii="Arial" w:hAnsi="Arial" w:cs="Arial"/>
        </w:rPr>
        <w:t xml:space="preserve"> </w:t>
      </w:r>
      <w:r>
        <w:rPr>
          <w:rFonts w:ascii="Arial" w:hAnsi="Arial" w:cs="Arial"/>
        </w:rPr>
        <w:tab/>
      </w:r>
      <w:r w:rsidRPr="004466F1">
        <w:rPr>
          <w:rFonts w:ascii="Arial" w:hAnsi="Arial" w:cs="Arial"/>
        </w:rPr>
        <w:t xml:space="preserve">Ustawa z </w:t>
      </w:r>
      <w:r>
        <w:rPr>
          <w:rFonts w:ascii="Arial" w:hAnsi="Arial" w:cs="Arial"/>
        </w:rPr>
        <w:t xml:space="preserve">dnia </w:t>
      </w:r>
      <w:r w:rsidRPr="004466F1">
        <w:rPr>
          <w:rFonts w:ascii="Arial" w:hAnsi="Arial" w:cs="Arial"/>
        </w:rPr>
        <w:t>27 września 2013 r. w zasadniczym swym zrębie wejdzie w życie z dniem 1</w:t>
      </w:r>
      <w:r>
        <w:rPr>
          <w:rFonts w:ascii="Arial" w:hAnsi="Arial" w:cs="Arial"/>
        </w:rPr>
        <w:t> </w:t>
      </w:r>
      <w:r w:rsidRPr="004466F1">
        <w:rPr>
          <w:rFonts w:ascii="Arial" w:hAnsi="Arial" w:cs="Arial"/>
        </w:rPr>
        <w:t>lipca 2015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CA" w:rsidRDefault="003243CA">
    <w:pPr>
      <w:pStyle w:val="Nagwek"/>
      <w:pBdr>
        <w:bottom w:val="single" w:sz="8" w:space="1" w:color="000000"/>
      </w:pBdr>
      <w:jc w:val="right"/>
      <w:rPr>
        <w:rFonts w:ascii="Arial" w:hAnsi="Arial"/>
        <w:i/>
        <w:sz w:val="18"/>
      </w:rPr>
    </w:pPr>
    <w:r>
      <w:rPr>
        <w:rFonts w:ascii="Arial" w:hAnsi="Arial"/>
        <w:i/>
        <w:sz w:val="18"/>
      </w:rPr>
      <w:t>P. Hofmański, J. Śliwa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CA" w:rsidRPr="00535125" w:rsidRDefault="003243CA">
    <w:pPr>
      <w:pStyle w:val="Nagwek"/>
      <w:pBdr>
        <w:bottom w:val="single" w:sz="8" w:space="1" w:color="000000"/>
      </w:pBdr>
      <w:rPr>
        <w:rFonts w:ascii="Arial" w:hAnsi="Arial" w:cs="Arial"/>
        <w:i/>
        <w:sz w:val="18"/>
        <w:szCs w:val="18"/>
      </w:rPr>
    </w:pPr>
    <w:r w:rsidRPr="00325951">
      <w:rPr>
        <w:rFonts w:ascii="Arial" w:hAnsi="Arial" w:cs="Arial"/>
        <w:i/>
        <w:sz w:val="18"/>
        <w:szCs w:val="18"/>
      </w:rPr>
      <w:t>Dwugłos w sprawie nowego kształtu postęp</w:t>
    </w:r>
    <w:r w:rsidRPr="00325951">
      <w:rPr>
        <w:rFonts w:ascii="Arial" w:hAnsi="Arial" w:cs="Arial"/>
        <w:i/>
        <w:sz w:val="18"/>
        <w:szCs w:val="18"/>
      </w:rPr>
      <w:t>o</w:t>
    </w:r>
    <w:r w:rsidRPr="00325951">
      <w:rPr>
        <w:rFonts w:ascii="Arial" w:hAnsi="Arial" w:cs="Arial"/>
        <w:i/>
        <w:sz w:val="18"/>
        <w:szCs w:val="18"/>
      </w:rPr>
      <w:t>wania</w:t>
    </w:r>
    <w:r w:rsidRPr="00535125">
      <w:rPr>
        <w:rFonts w:ascii="Arial" w:hAnsi="Arial" w:cs="Arial"/>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1004"/>
        </w:tabs>
        <w:ind w:left="1004"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1004"/>
        </w:tabs>
        <w:ind w:left="1004" w:hanging="360"/>
      </w:pPr>
      <w:rPr>
        <w:rFonts w:ascii="Symbol" w:hAnsi="Symbol"/>
      </w:rPr>
    </w:lvl>
  </w:abstractNum>
  <w:abstractNum w:abstractNumId="2">
    <w:nsid w:val="00000003"/>
    <w:multiLevelType w:val="singleLevel"/>
    <w:tmpl w:val="00000003"/>
    <w:name w:val="WW8Num19"/>
    <w:lvl w:ilvl="0">
      <w:start w:val="1"/>
      <w:numFmt w:val="bullet"/>
      <w:lvlText w:val=""/>
      <w:lvlJc w:val="left"/>
      <w:pPr>
        <w:tabs>
          <w:tab w:val="num" w:pos="1004"/>
        </w:tabs>
        <w:ind w:left="1004" w:hanging="360"/>
      </w:pPr>
      <w:rPr>
        <w:rFonts w:ascii="Symbol" w:hAnsi="Symbol"/>
      </w:rPr>
    </w:lvl>
  </w:abstractNum>
  <w:abstractNum w:abstractNumId="3">
    <w:nsid w:val="00000004"/>
    <w:multiLevelType w:val="singleLevel"/>
    <w:tmpl w:val="00000004"/>
    <w:name w:val="WW8Num20"/>
    <w:lvl w:ilvl="0">
      <w:start w:val="1"/>
      <w:numFmt w:val="bullet"/>
      <w:lvlText w:val=""/>
      <w:lvlJc w:val="left"/>
      <w:pPr>
        <w:tabs>
          <w:tab w:val="num" w:pos="1004"/>
        </w:tabs>
        <w:ind w:left="1004" w:hanging="360"/>
      </w:pPr>
      <w:rPr>
        <w:rFonts w:ascii="Symbol" w:hAnsi="Symbol"/>
      </w:rPr>
    </w:lvl>
  </w:abstractNum>
  <w:abstractNum w:abstractNumId="4">
    <w:nsid w:val="00000005"/>
    <w:multiLevelType w:val="singleLevel"/>
    <w:tmpl w:val="00000005"/>
    <w:name w:val="WW8Num22"/>
    <w:lvl w:ilvl="0">
      <w:start w:val="1"/>
      <w:numFmt w:val="bullet"/>
      <w:lvlText w:val=""/>
      <w:lvlJc w:val="left"/>
      <w:pPr>
        <w:tabs>
          <w:tab w:val="num" w:pos="1004"/>
        </w:tabs>
        <w:ind w:left="1004" w:hanging="360"/>
      </w:pPr>
      <w:rPr>
        <w:rFonts w:ascii="Symbol" w:hAnsi="Symbol"/>
      </w:rPr>
    </w:lvl>
  </w:abstractNum>
  <w:abstractNum w:abstractNumId="5">
    <w:nsid w:val="00000006"/>
    <w:multiLevelType w:val="singleLevel"/>
    <w:tmpl w:val="00000006"/>
    <w:name w:val="WW8Num41"/>
    <w:lvl w:ilvl="0">
      <w:start w:val="1"/>
      <w:numFmt w:val="bullet"/>
      <w:lvlText w:val=""/>
      <w:lvlJc w:val="left"/>
      <w:pPr>
        <w:tabs>
          <w:tab w:val="num" w:pos="1004"/>
        </w:tabs>
        <w:ind w:left="1004" w:hanging="360"/>
      </w:pPr>
      <w:rPr>
        <w:rFonts w:ascii="Symbol" w:hAnsi="Symbol"/>
      </w:rPr>
    </w:lvl>
  </w:abstractNum>
  <w:abstractNum w:abstractNumId="6">
    <w:nsid w:val="00000007"/>
    <w:multiLevelType w:val="singleLevel"/>
    <w:tmpl w:val="00000007"/>
    <w:name w:val="WW8Num44"/>
    <w:lvl w:ilvl="0">
      <w:start w:val="1"/>
      <w:numFmt w:val="lowerLetter"/>
      <w:lvlText w:val="%1)"/>
      <w:lvlJc w:val="left"/>
      <w:pPr>
        <w:tabs>
          <w:tab w:val="num" w:pos="644"/>
        </w:tabs>
        <w:ind w:left="644" w:hanging="360"/>
      </w:pPr>
    </w:lvl>
  </w:abstractNum>
  <w:abstractNum w:abstractNumId="7">
    <w:nsid w:val="00000008"/>
    <w:multiLevelType w:val="singleLevel"/>
    <w:tmpl w:val="00000008"/>
    <w:name w:val="WW8Num45"/>
    <w:lvl w:ilvl="0">
      <w:start w:val="1"/>
      <w:numFmt w:val="bullet"/>
      <w:lvlText w:val=""/>
      <w:lvlJc w:val="left"/>
      <w:pPr>
        <w:tabs>
          <w:tab w:val="num" w:pos="1004"/>
        </w:tabs>
        <w:ind w:left="1004" w:hanging="360"/>
      </w:pPr>
      <w:rPr>
        <w:rFonts w:ascii="Symbol" w:hAnsi="Symbol"/>
      </w:rPr>
    </w:lvl>
  </w:abstractNum>
  <w:abstractNum w:abstractNumId="8">
    <w:nsid w:val="0A311C99"/>
    <w:multiLevelType w:val="hybridMultilevel"/>
    <w:tmpl w:val="96E44D3A"/>
    <w:lvl w:ilvl="0" w:tplc="48681E1A">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9">
    <w:nsid w:val="0D412C6F"/>
    <w:multiLevelType w:val="hybridMultilevel"/>
    <w:tmpl w:val="940E728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3EED5725"/>
    <w:multiLevelType w:val="hybridMultilevel"/>
    <w:tmpl w:val="D8B65796"/>
    <w:lvl w:ilvl="0" w:tplc="48681E1A">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
    <w:nsid w:val="43C052DF"/>
    <w:multiLevelType w:val="hybridMultilevel"/>
    <w:tmpl w:val="E9FCE5E4"/>
    <w:lvl w:ilvl="0" w:tplc="48681E1A">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2">
    <w:nsid w:val="5E87338C"/>
    <w:multiLevelType w:val="hybridMultilevel"/>
    <w:tmpl w:val="6CA221B0"/>
    <w:lvl w:ilvl="0" w:tplc="C39CF056">
      <w:start w:val="1"/>
      <w:numFmt w:val="bullet"/>
      <w:lvlText w:val="-"/>
      <w:lvlJc w:val="left"/>
      <w:pPr>
        <w:tabs>
          <w:tab w:val="num" w:pos="720"/>
        </w:tabs>
        <w:ind w:left="720" w:hanging="360"/>
      </w:pPr>
      <w:rPr>
        <w:rFonts w:ascii="Times New Roman" w:hAnsi="Times New Roman" w:hint="default"/>
      </w:rPr>
    </w:lvl>
    <w:lvl w:ilvl="1" w:tplc="A28C762A">
      <w:start w:val="576"/>
      <w:numFmt w:val="bullet"/>
      <w:lvlText w:val=""/>
      <w:lvlJc w:val="left"/>
      <w:pPr>
        <w:tabs>
          <w:tab w:val="num" w:pos="1440"/>
        </w:tabs>
        <w:ind w:left="1440" w:hanging="360"/>
      </w:pPr>
      <w:rPr>
        <w:rFonts w:ascii="Wingdings" w:hAnsi="Wingdings" w:hint="default"/>
      </w:rPr>
    </w:lvl>
    <w:lvl w:ilvl="2" w:tplc="888E253C" w:tentative="1">
      <w:start w:val="1"/>
      <w:numFmt w:val="bullet"/>
      <w:lvlText w:val="-"/>
      <w:lvlJc w:val="left"/>
      <w:pPr>
        <w:tabs>
          <w:tab w:val="num" w:pos="2160"/>
        </w:tabs>
        <w:ind w:left="2160" w:hanging="360"/>
      </w:pPr>
      <w:rPr>
        <w:rFonts w:ascii="Times New Roman" w:hAnsi="Times New Roman" w:hint="default"/>
      </w:rPr>
    </w:lvl>
    <w:lvl w:ilvl="3" w:tplc="E8C803E6" w:tentative="1">
      <w:start w:val="1"/>
      <w:numFmt w:val="bullet"/>
      <w:lvlText w:val="-"/>
      <w:lvlJc w:val="left"/>
      <w:pPr>
        <w:tabs>
          <w:tab w:val="num" w:pos="2880"/>
        </w:tabs>
        <w:ind w:left="2880" w:hanging="360"/>
      </w:pPr>
      <w:rPr>
        <w:rFonts w:ascii="Times New Roman" w:hAnsi="Times New Roman" w:hint="default"/>
      </w:rPr>
    </w:lvl>
    <w:lvl w:ilvl="4" w:tplc="08E49564" w:tentative="1">
      <w:start w:val="1"/>
      <w:numFmt w:val="bullet"/>
      <w:lvlText w:val="-"/>
      <w:lvlJc w:val="left"/>
      <w:pPr>
        <w:tabs>
          <w:tab w:val="num" w:pos="3600"/>
        </w:tabs>
        <w:ind w:left="3600" w:hanging="360"/>
      </w:pPr>
      <w:rPr>
        <w:rFonts w:ascii="Times New Roman" w:hAnsi="Times New Roman" w:hint="default"/>
      </w:rPr>
    </w:lvl>
    <w:lvl w:ilvl="5" w:tplc="B722179A" w:tentative="1">
      <w:start w:val="1"/>
      <w:numFmt w:val="bullet"/>
      <w:lvlText w:val="-"/>
      <w:lvlJc w:val="left"/>
      <w:pPr>
        <w:tabs>
          <w:tab w:val="num" w:pos="4320"/>
        </w:tabs>
        <w:ind w:left="4320" w:hanging="360"/>
      </w:pPr>
      <w:rPr>
        <w:rFonts w:ascii="Times New Roman" w:hAnsi="Times New Roman" w:hint="default"/>
      </w:rPr>
    </w:lvl>
    <w:lvl w:ilvl="6" w:tplc="B0645A28" w:tentative="1">
      <w:start w:val="1"/>
      <w:numFmt w:val="bullet"/>
      <w:lvlText w:val="-"/>
      <w:lvlJc w:val="left"/>
      <w:pPr>
        <w:tabs>
          <w:tab w:val="num" w:pos="5040"/>
        </w:tabs>
        <w:ind w:left="5040" w:hanging="360"/>
      </w:pPr>
      <w:rPr>
        <w:rFonts w:ascii="Times New Roman" w:hAnsi="Times New Roman" w:hint="default"/>
      </w:rPr>
    </w:lvl>
    <w:lvl w:ilvl="7" w:tplc="4D5AFA9E" w:tentative="1">
      <w:start w:val="1"/>
      <w:numFmt w:val="bullet"/>
      <w:lvlText w:val="-"/>
      <w:lvlJc w:val="left"/>
      <w:pPr>
        <w:tabs>
          <w:tab w:val="num" w:pos="5760"/>
        </w:tabs>
        <w:ind w:left="5760" w:hanging="360"/>
      </w:pPr>
      <w:rPr>
        <w:rFonts w:ascii="Times New Roman" w:hAnsi="Times New Roman" w:hint="default"/>
      </w:rPr>
    </w:lvl>
    <w:lvl w:ilvl="8" w:tplc="1B6687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1F32DB"/>
    <w:multiLevelType w:val="hybridMultilevel"/>
    <w:tmpl w:val="D13EB39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2"/>
  </w:num>
  <w:num w:numId="2">
    <w:abstractNumId w:val="13"/>
  </w:num>
  <w:num w:numId="3">
    <w:abstractNumId w:val="9"/>
  </w:num>
  <w:num w:numId="4">
    <w:abstractNumId w:val="10"/>
  </w:num>
  <w:num w:numId="5">
    <w:abstractNumId w:val="11"/>
  </w:num>
  <w:num w:numId="6">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embedSystemFonts/>
  <w:stylePaneFormatFilter w:val="3F01"/>
  <w:defaultTabStop w:val="709"/>
  <w:autoHyphenation/>
  <w:hyphenationZone w:val="35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66481"/>
    <w:rsid w:val="000379F5"/>
    <w:rsid w:val="000429C7"/>
    <w:rsid w:val="000641AA"/>
    <w:rsid w:val="00067975"/>
    <w:rsid w:val="00071A37"/>
    <w:rsid w:val="0007261B"/>
    <w:rsid w:val="00072B32"/>
    <w:rsid w:val="00073520"/>
    <w:rsid w:val="000766AF"/>
    <w:rsid w:val="000766E7"/>
    <w:rsid w:val="00082FFA"/>
    <w:rsid w:val="00090E5A"/>
    <w:rsid w:val="000A701E"/>
    <w:rsid w:val="000C133A"/>
    <w:rsid w:val="000C1CD9"/>
    <w:rsid w:val="000E02B4"/>
    <w:rsid w:val="000F6C45"/>
    <w:rsid w:val="0010381A"/>
    <w:rsid w:val="00114205"/>
    <w:rsid w:val="0012677E"/>
    <w:rsid w:val="00126A6E"/>
    <w:rsid w:val="00142835"/>
    <w:rsid w:val="001472CA"/>
    <w:rsid w:val="00147D4D"/>
    <w:rsid w:val="00150E34"/>
    <w:rsid w:val="00152659"/>
    <w:rsid w:val="00155648"/>
    <w:rsid w:val="00155650"/>
    <w:rsid w:val="001572E9"/>
    <w:rsid w:val="0016280F"/>
    <w:rsid w:val="00167C1A"/>
    <w:rsid w:val="00174511"/>
    <w:rsid w:val="0017745F"/>
    <w:rsid w:val="00184EEA"/>
    <w:rsid w:val="001A66A9"/>
    <w:rsid w:val="001A743E"/>
    <w:rsid w:val="001B4FCE"/>
    <w:rsid w:val="001D611B"/>
    <w:rsid w:val="001F77FF"/>
    <w:rsid w:val="002027D5"/>
    <w:rsid w:val="00203865"/>
    <w:rsid w:val="00221E0F"/>
    <w:rsid w:val="00230F77"/>
    <w:rsid w:val="00254731"/>
    <w:rsid w:val="00270366"/>
    <w:rsid w:val="00270EAC"/>
    <w:rsid w:val="0029114A"/>
    <w:rsid w:val="002A25B7"/>
    <w:rsid w:val="002A7FEB"/>
    <w:rsid w:val="002B720E"/>
    <w:rsid w:val="002D3CC5"/>
    <w:rsid w:val="002E2821"/>
    <w:rsid w:val="002E7CA3"/>
    <w:rsid w:val="002F5AF6"/>
    <w:rsid w:val="00306456"/>
    <w:rsid w:val="00317575"/>
    <w:rsid w:val="00317E5A"/>
    <w:rsid w:val="003243CA"/>
    <w:rsid w:val="00325951"/>
    <w:rsid w:val="003404C5"/>
    <w:rsid w:val="00342F6B"/>
    <w:rsid w:val="00350D0F"/>
    <w:rsid w:val="003548FD"/>
    <w:rsid w:val="00356421"/>
    <w:rsid w:val="003769A4"/>
    <w:rsid w:val="003803CB"/>
    <w:rsid w:val="003820A1"/>
    <w:rsid w:val="00382561"/>
    <w:rsid w:val="003904BE"/>
    <w:rsid w:val="00395197"/>
    <w:rsid w:val="003B06DF"/>
    <w:rsid w:val="003B76BB"/>
    <w:rsid w:val="003D22AE"/>
    <w:rsid w:val="003D5393"/>
    <w:rsid w:val="003F0E90"/>
    <w:rsid w:val="00405D41"/>
    <w:rsid w:val="0040666F"/>
    <w:rsid w:val="0041264E"/>
    <w:rsid w:val="0042016E"/>
    <w:rsid w:val="00420EC4"/>
    <w:rsid w:val="00421BF8"/>
    <w:rsid w:val="00426DED"/>
    <w:rsid w:val="0043071E"/>
    <w:rsid w:val="00437F64"/>
    <w:rsid w:val="004466F1"/>
    <w:rsid w:val="00446E08"/>
    <w:rsid w:val="004618CC"/>
    <w:rsid w:val="00464E81"/>
    <w:rsid w:val="00482004"/>
    <w:rsid w:val="00483DD4"/>
    <w:rsid w:val="00493937"/>
    <w:rsid w:val="004A4591"/>
    <w:rsid w:val="004A5020"/>
    <w:rsid w:val="004B3094"/>
    <w:rsid w:val="004B344F"/>
    <w:rsid w:val="004B36CF"/>
    <w:rsid w:val="004C3B6B"/>
    <w:rsid w:val="004D023A"/>
    <w:rsid w:val="004D5DEE"/>
    <w:rsid w:val="004E531F"/>
    <w:rsid w:val="004E75BF"/>
    <w:rsid w:val="004F5C3C"/>
    <w:rsid w:val="005034C3"/>
    <w:rsid w:val="00503699"/>
    <w:rsid w:val="005045E0"/>
    <w:rsid w:val="00514E1F"/>
    <w:rsid w:val="00515E1C"/>
    <w:rsid w:val="0052130A"/>
    <w:rsid w:val="00532B8F"/>
    <w:rsid w:val="00535125"/>
    <w:rsid w:val="00544317"/>
    <w:rsid w:val="00544578"/>
    <w:rsid w:val="00562718"/>
    <w:rsid w:val="0056756A"/>
    <w:rsid w:val="0056767E"/>
    <w:rsid w:val="00587A7E"/>
    <w:rsid w:val="005B1721"/>
    <w:rsid w:val="005B31E8"/>
    <w:rsid w:val="005C3405"/>
    <w:rsid w:val="005C4382"/>
    <w:rsid w:val="005D028A"/>
    <w:rsid w:val="005D54EF"/>
    <w:rsid w:val="005E105D"/>
    <w:rsid w:val="005E3386"/>
    <w:rsid w:val="005F07D4"/>
    <w:rsid w:val="005F7EF3"/>
    <w:rsid w:val="0060120C"/>
    <w:rsid w:val="00607A95"/>
    <w:rsid w:val="00611DFE"/>
    <w:rsid w:val="006148B8"/>
    <w:rsid w:val="006209BA"/>
    <w:rsid w:val="00640723"/>
    <w:rsid w:val="00646F37"/>
    <w:rsid w:val="00650512"/>
    <w:rsid w:val="00652C78"/>
    <w:rsid w:val="006536CC"/>
    <w:rsid w:val="00660070"/>
    <w:rsid w:val="00675CF7"/>
    <w:rsid w:val="00677F55"/>
    <w:rsid w:val="00684D4A"/>
    <w:rsid w:val="00695E65"/>
    <w:rsid w:val="006A334B"/>
    <w:rsid w:val="006A731E"/>
    <w:rsid w:val="006B5F02"/>
    <w:rsid w:val="006B630A"/>
    <w:rsid w:val="006C0B5C"/>
    <w:rsid w:val="006C6727"/>
    <w:rsid w:val="00703636"/>
    <w:rsid w:val="007122E7"/>
    <w:rsid w:val="00734542"/>
    <w:rsid w:val="00766ADC"/>
    <w:rsid w:val="007948FB"/>
    <w:rsid w:val="007A5F6E"/>
    <w:rsid w:val="007A671A"/>
    <w:rsid w:val="007B3E8E"/>
    <w:rsid w:val="007B7508"/>
    <w:rsid w:val="007B773A"/>
    <w:rsid w:val="007C65BB"/>
    <w:rsid w:val="007D6AE5"/>
    <w:rsid w:val="007D6D42"/>
    <w:rsid w:val="007E1D7A"/>
    <w:rsid w:val="00806E1E"/>
    <w:rsid w:val="00821F40"/>
    <w:rsid w:val="008318B1"/>
    <w:rsid w:val="00833AE9"/>
    <w:rsid w:val="00854C0C"/>
    <w:rsid w:val="0086228B"/>
    <w:rsid w:val="00862312"/>
    <w:rsid w:val="0086471F"/>
    <w:rsid w:val="00872294"/>
    <w:rsid w:val="008760E5"/>
    <w:rsid w:val="0087654F"/>
    <w:rsid w:val="00897FE4"/>
    <w:rsid w:val="008A100E"/>
    <w:rsid w:val="008A24B1"/>
    <w:rsid w:val="008A369A"/>
    <w:rsid w:val="008A3FA3"/>
    <w:rsid w:val="008B64EB"/>
    <w:rsid w:val="008C0067"/>
    <w:rsid w:val="008C517A"/>
    <w:rsid w:val="008D1497"/>
    <w:rsid w:val="008D3A7D"/>
    <w:rsid w:val="008E71FC"/>
    <w:rsid w:val="00911009"/>
    <w:rsid w:val="00911B53"/>
    <w:rsid w:val="0091410C"/>
    <w:rsid w:val="00916AA9"/>
    <w:rsid w:val="00922139"/>
    <w:rsid w:val="0093315A"/>
    <w:rsid w:val="009431B7"/>
    <w:rsid w:val="00952266"/>
    <w:rsid w:val="0095408B"/>
    <w:rsid w:val="00954DDD"/>
    <w:rsid w:val="00983646"/>
    <w:rsid w:val="00991BF6"/>
    <w:rsid w:val="00992F9F"/>
    <w:rsid w:val="009930EF"/>
    <w:rsid w:val="009952EF"/>
    <w:rsid w:val="009A2BD2"/>
    <w:rsid w:val="009B18D8"/>
    <w:rsid w:val="009B5320"/>
    <w:rsid w:val="009C5276"/>
    <w:rsid w:val="009C578A"/>
    <w:rsid w:val="009D1A8B"/>
    <w:rsid w:val="009E1A94"/>
    <w:rsid w:val="009E43DE"/>
    <w:rsid w:val="00A049E5"/>
    <w:rsid w:val="00A060F2"/>
    <w:rsid w:val="00A1072D"/>
    <w:rsid w:val="00A13A56"/>
    <w:rsid w:val="00A15B44"/>
    <w:rsid w:val="00A17016"/>
    <w:rsid w:val="00A17CEB"/>
    <w:rsid w:val="00A264C3"/>
    <w:rsid w:val="00A27AA1"/>
    <w:rsid w:val="00A3246D"/>
    <w:rsid w:val="00A438E8"/>
    <w:rsid w:val="00A4570B"/>
    <w:rsid w:val="00A5045B"/>
    <w:rsid w:val="00A50F6A"/>
    <w:rsid w:val="00A51961"/>
    <w:rsid w:val="00A64F7F"/>
    <w:rsid w:val="00A66481"/>
    <w:rsid w:val="00A66F03"/>
    <w:rsid w:val="00A902F2"/>
    <w:rsid w:val="00A902F5"/>
    <w:rsid w:val="00A92075"/>
    <w:rsid w:val="00A92CBC"/>
    <w:rsid w:val="00A92E86"/>
    <w:rsid w:val="00AA0351"/>
    <w:rsid w:val="00AA189D"/>
    <w:rsid w:val="00AB1338"/>
    <w:rsid w:val="00AD74D2"/>
    <w:rsid w:val="00AE046A"/>
    <w:rsid w:val="00AF2A04"/>
    <w:rsid w:val="00AF72D0"/>
    <w:rsid w:val="00AF7308"/>
    <w:rsid w:val="00B055FD"/>
    <w:rsid w:val="00B0742B"/>
    <w:rsid w:val="00B10F53"/>
    <w:rsid w:val="00B1200A"/>
    <w:rsid w:val="00B12BBB"/>
    <w:rsid w:val="00B23A7F"/>
    <w:rsid w:val="00B24E4E"/>
    <w:rsid w:val="00B26A19"/>
    <w:rsid w:val="00B2737A"/>
    <w:rsid w:val="00B4111C"/>
    <w:rsid w:val="00B4144D"/>
    <w:rsid w:val="00B42EA9"/>
    <w:rsid w:val="00B5255A"/>
    <w:rsid w:val="00B53CDC"/>
    <w:rsid w:val="00B542C5"/>
    <w:rsid w:val="00B60482"/>
    <w:rsid w:val="00B61D63"/>
    <w:rsid w:val="00B66F46"/>
    <w:rsid w:val="00B71CEC"/>
    <w:rsid w:val="00B85742"/>
    <w:rsid w:val="00B86FF0"/>
    <w:rsid w:val="00B978E1"/>
    <w:rsid w:val="00B97BE3"/>
    <w:rsid w:val="00BB1B83"/>
    <w:rsid w:val="00BC19BB"/>
    <w:rsid w:val="00BC6F69"/>
    <w:rsid w:val="00BD0105"/>
    <w:rsid w:val="00BD4A33"/>
    <w:rsid w:val="00BF65D3"/>
    <w:rsid w:val="00BF70DC"/>
    <w:rsid w:val="00C06BB5"/>
    <w:rsid w:val="00C16B32"/>
    <w:rsid w:val="00C2422D"/>
    <w:rsid w:val="00C51006"/>
    <w:rsid w:val="00C54315"/>
    <w:rsid w:val="00C54943"/>
    <w:rsid w:val="00C56EF2"/>
    <w:rsid w:val="00C57656"/>
    <w:rsid w:val="00C62C1B"/>
    <w:rsid w:val="00C63B17"/>
    <w:rsid w:val="00C63BA6"/>
    <w:rsid w:val="00C70CD2"/>
    <w:rsid w:val="00C70EBE"/>
    <w:rsid w:val="00C73957"/>
    <w:rsid w:val="00C73F3E"/>
    <w:rsid w:val="00C80B64"/>
    <w:rsid w:val="00C81552"/>
    <w:rsid w:val="00C81970"/>
    <w:rsid w:val="00C946E9"/>
    <w:rsid w:val="00C96430"/>
    <w:rsid w:val="00CB246C"/>
    <w:rsid w:val="00CB2CA6"/>
    <w:rsid w:val="00CC6DEA"/>
    <w:rsid w:val="00CD3B29"/>
    <w:rsid w:val="00CD3F66"/>
    <w:rsid w:val="00CD7E1E"/>
    <w:rsid w:val="00D14E07"/>
    <w:rsid w:val="00D17102"/>
    <w:rsid w:val="00D322D5"/>
    <w:rsid w:val="00D45825"/>
    <w:rsid w:val="00D52E1A"/>
    <w:rsid w:val="00D56993"/>
    <w:rsid w:val="00D63AAA"/>
    <w:rsid w:val="00D7708B"/>
    <w:rsid w:val="00DA373F"/>
    <w:rsid w:val="00DC4FA4"/>
    <w:rsid w:val="00DC67C5"/>
    <w:rsid w:val="00DD60B6"/>
    <w:rsid w:val="00DD6CE2"/>
    <w:rsid w:val="00DE19C9"/>
    <w:rsid w:val="00DF317B"/>
    <w:rsid w:val="00DF53DA"/>
    <w:rsid w:val="00E06982"/>
    <w:rsid w:val="00E21F77"/>
    <w:rsid w:val="00E25DE2"/>
    <w:rsid w:val="00E331FB"/>
    <w:rsid w:val="00E516FB"/>
    <w:rsid w:val="00E53695"/>
    <w:rsid w:val="00E5641C"/>
    <w:rsid w:val="00E6356B"/>
    <w:rsid w:val="00E8150D"/>
    <w:rsid w:val="00E92FDF"/>
    <w:rsid w:val="00E93A73"/>
    <w:rsid w:val="00E97D32"/>
    <w:rsid w:val="00EB14FF"/>
    <w:rsid w:val="00EC0D67"/>
    <w:rsid w:val="00ED08C7"/>
    <w:rsid w:val="00ED0BAA"/>
    <w:rsid w:val="00ED5A1E"/>
    <w:rsid w:val="00F01B8D"/>
    <w:rsid w:val="00F03A3F"/>
    <w:rsid w:val="00F03D2D"/>
    <w:rsid w:val="00F04FC9"/>
    <w:rsid w:val="00F06DC0"/>
    <w:rsid w:val="00F077DE"/>
    <w:rsid w:val="00F10FDA"/>
    <w:rsid w:val="00F32BA0"/>
    <w:rsid w:val="00F370D4"/>
    <w:rsid w:val="00F46ECF"/>
    <w:rsid w:val="00F63691"/>
    <w:rsid w:val="00F66763"/>
    <w:rsid w:val="00F76720"/>
    <w:rsid w:val="00FA5232"/>
    <w:rsid w:val="00FA79CD"/>
    <w:rsid w:val="00FD0E31"/>
    <w:rsid w:val="00FD1759"/>
    <w:rsid w:val="00FE708A"/>
    <w:rsid w:val="00FF1B1E"/>
    <w:rsid w:val="00FF5D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Bookman Old Style" w:hAnsi="Bookman Old Style"/>
      <w:sz w:val="24"/>
      <w:szCs w:val="24"/>
      <w:lang w:eastAsia="ar-SA"/>
    </w:rPr>
  </w:style>
  <w:style w:type="paragraph" w:styleId="Nagwek1">
    <w:name w:val="heading 1"/>
    <w:basedOn w:val="Normalny"/>
    <w:next w:val="Normalny"/>
    <w:qFormat/>
    <w:pPr>
      <w:keepNext/>
      <w:spacing w:line="360" w:lineRule="auto"/>
      <w:ind w:firstLine="709"/>
      <w:jc w:val="both"/>
      <w:outlineLvl w:val="0"/>
    </w:pPr>
    <w:rPr>
      <w:b/>
      <w:bCs/>
    </w:rPr>
  </w:style>
  <w:style w:type="paragraph" w:styleId="Nagwek2">
    <w:name w:val="heading 2"/>
    <w:basedOn w:val="Normalny"/>
    <w:next w:val="Normalny"/>
    <w:qFormat/>
    <w:pPr>
      <w:keepNext/>
      <w:outlineLvl w:val="1"/>
    </w:pPr>
    <w:rPr>
      <w:b/>
      <w:bCs/>
    </w:rPr>
  </w:style>
  <w:style w:type="paragraph" w:styleId="Nagwek3">
    <w:name w:val="heading 3"/>
    <w:basedOn w:val="Normalny"/>
    <w:next w:val="Normalny"/>
    <w:qFormat/>
    <w:pPr>
      <w:keepNext/>
      <w:jc w:val="center"/>
      <w:outlineLvl w:val="2"/>
    </w:pPr>
    <w:rPr>
      <w:rFonts w:ascii="Times New Roman" w:hAnsi="Times New Roman"/>
      <w:b/>
      <w:sz w:val="32"/>
    </w:rPr>
  </w:style>
  <w:style w:type="paragraph" w:styleId="Nagwek4">
    <w:name w:val="heading 4"/>
    <w:basedOn w:val="Normalny"/>
    <w:next w:val="Normalny"/>
    <w:qFormat/>
    <w:pPr>
      <w:keepNext/>
      <w:widowControl w:val="0"/>
      <w:jc w:val="both"/>
      <w:outlineLvl w:val="3"/>
    </w:pPr>
    <w:rPr>
      <w:rFonts w:ascii="Times New Roman" w:hAnsi="Times New Roman"/>
      <w:color w:val="000000"/>
      <w:lang w:val="en-US"/>
    </w:rPr>
  </w:style>
  <w:style w:type="paragraph" w:styleId="Nagwek5">
    <w:name w:val="heading 5"/>
    <w:basedOn w:val="Normalny"/>
    <w:next w:val="Normalny"/>
    <w:qFormat/>
    <w:pPr>
      <w:keepNext/>
      <w:spacing w:line="360" w:lineRule="auto"/>
      <w:jc w:val="both"/>
      <w:outlineLvl w:val="4"/>
    </w:pPr>
    <w:rPr>
      <w:rFonts w:ascii="Times New Roman" w:hAnsi="Times New Roman"/>
      <w:b/>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7">
    <w:name w:val="heading 7"/>
    <w:basedOn w:val="Normalny"/>
    <w:next w:val="Normalny"/>
    <w:qFormat/>
    <w:pPr>
      <w:spacing w:before="240" w:after="60"/>
      <w:outlineLvl w:val="6"/>
    </w:pPr>
    <w:rPr>
      <w:rFonts w:ascii="Times New Roman" w:hAnsi="Times New Roma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rPr>
      <w:rFonts w:ascii="Symbol" w:hAnsi="Symbol" w:cs="Symbol"/>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Helvetica"/>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ourier New" w:hAnsi="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sz w:val="20"/>
    </w:rPr>
  </w:style>
  <w:style w:type="character" w:customStyle="1" w:styleId="WW8Num27z1">
    <w:name w:val="WW8Num27z1"/>
    <w:rPr>
      <w:rFonts w:ascii="Courier New" w:hAnsi="Courier New"/>
      <w:sz w:val="20"/>
    </w:rPr>
  </w:style>
  <w:style w:type="character" w:customStyle="1" w:styleId="WW8Num27z2">
    <w:name w:val="WW8Num27z2"/>
    <w:rPr>
      <w:rFonts w:ascii="Wingdings" w:hAnsi="Wingdings"/>
      <w:sz w:val="20"/>
    </w:rPr>
  </w:style>
  <w:style w:type="character" w:customStyle="1" w:styleId="WW8Num28z0">
    <w:name w:val="WW8Num28z0"/>
    <w:rPr>
      <w:rFonts w:ascii="Courier New" w:hAnsi="Courier New"/>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Courier New" w:hAnsi="Courier New"/>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Domylnaczcionkaakapitu1">
    <w:name w:val="Domyślna czcionka akapitu1"/>
  </w:style>
  <w:style w:type="character" w:customStyle="1" w:styleId="FootnoteCharacters">
    <w:name w:val="Footnote Characters"/>
    <w:rPr>
      <w:vertAlign w:val="superscript"/>
    </w:rPr>
  </w:style>
  <w:style w:type="character" w:styleId="Numerstrony">
    <w:name w:val="page number"/>
    <w:basedOn w:val="Domylnaczcionkaakapitu1"/>
  </w:style>
  <w:style w:type="character" w:customStyle="1" w:styleId="normalny0">
    <w:name w:val="normalny"/>
  </w:style>
  <w:style w:type="character" w:styleId="Hipercze">
    <w:name w:val="Hyperlink"/>
    <w:rPr>
      <w:rFonts w:ascii="Arial" w:hAnsi="Arial" w:cs="Arial"/>
      <w:strike w:val="0"/>
      <w:dstrike w:val="0"/>
      <w:color w:val="244100"/>
      <w:sz w:val="20"/>
      <w:szCs w:val="20"/>
      <w:u w:val="none"/>
    </w:rPr>
  </w:style>
  <w:style w:type="character" w:customStyle="1" w:styleId="Nagwek1ZnakZnak">
    <w:name w:val="Nagłówek 1 Znak Znak"/>
    <w:rPr>
      <w:rFonts w:cs="Arial"/>
      <w:b/>
      <w:bCs/>
      <w:kern w:val="1"/>
      <w:sz w:val="24"/>
      <w:szCs w:val="32"/>
      <w:lang w:val="pl-PL" w:eastAsia="ar-SA" w:bidi="ar-SA"/>
    </w:rPr>
  </w:style>
  <w:style w:type="character" w:customStyle="1" w:styleId="Nagwek2Znak">
    <w:name w:val="Nagłówek 2 Znak"/>
    <w:rPr>
      <w:rFonts w:cs="Arial"/>
      <w:b/>
      <w:bCs/>
      <w:iCs/>
      <w:kern w:val="1"/>
      <w:sz w:val="24"/>
      <w:szCs w:val="28"/>
      <w:lang w:val="pl-PL" w:eastAsia="ar-SA" w:bidi="ar-SA"/>
    </w:rPr>
  </w:style>
  <w:style w:type="character" w:customStyle="1" w:styleId="StylNagwek2PogrubienieZnak">
    <w:name w:val="Styl Nagłówek 2 + Pogrubienie Znak"/>
    <w:basedOn w:val="Nagwek2Znak"/>
  </w:style>
  <w:style w:type="character" w:customStyle="1" w:styleId="Odwoaniedokomentarza1">
    <w:name w:val="Odwołanie do komentarza1"/>
    <w:rPr>
      <w:sz w:val="16"/>
      <w:szCs w:val="16"/>
    </w:rPr>
  </w:style>
  <w:style w:type="character" w:customStyle="1" w:styleId="mediumb-text1">
    <w:name w:val="mediumb-text1"/>
    <w:rPr>
      <w:rFonts w:ascii="Arial" w:hAnsi="Arial" w:cs="Arial"/>
      <w:b/>
      <w:bCs/>
      <w:color w:val="000000"/>
      <w:sz w:val="24"/>
      <w:szCs w:val="24"/>
    </w:rPr>
  </w:style>
  <w:style w:type="character" w:customStyle="1" w:styleId="Znakiprzypiswdolnych">
    <w:name w:val="Znaki przypisów dolnych"/>
    <w:rPr>
      <w:vertAlign w:val="superscript"/>
    </w:rPr>
  </w:style>
  <w:style w:type="character" w:styleId="Odwoanieprzypisudolnego">
    <w:name w:val="footnote reference"/>
    <w:aliases w:val="(Voetnootmarkering),FZ"/>
    <w:semiHidden/>
    <w:rPr>
      <w:vertAlign w:val="superscript"/>
    </w:rPr>
  </w:style>
  <w:style w:type="character" w:styleId="Odwoanieprzypisukocowego">
    <w:name w:val="endnote reference"/>
    <w:semiHidden/>
    <w:rPr>
      <w:vertAlign w:val="superscript"/>
    </w:rPr>
  </w:style>
  <w:style w:type="character" w:customStyle="1" w:styleId="EndnoteCharacters">
    <w:name w:val="Endnote Characters"/>
  </w:style>
  <w:style w:type="character" w:customStyle="1" w:styleId="NumberingSymbols">
    <w:name w:val="Numbering Symbols"/>
  </w:style>
  <w:style w:type="paragraph" w:customStyle="1" w:styleId="Heading">
    <w:name w:val="Heading"/>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before="48" w:line="360" w:lineRule="auto"/>
      <w:jc w:val="both"/>
    </w:pPr>
    <w:rPr>
      <w:rFonts w:ascii="Times New Roman" w:hAnsi="Times New Roman"/>
      <w:sz w:val="28"/>
    </w:rPr>
  </w:style>
  <w:style w:type="paragraph" w:styleId="Lista">
    <w:name w:val="List"/>
    <w:basedOn w:val="Tekstpodstawowy"/>
  </w:style>
  <w:style w:type="paragraph" w:customStyle="1" w:styleId="Caption">
    <w:name w:val="Caption"/>
    <w:basedOn w:val="Normalny"/>
    <w:pPr>
      <w:suppressLineNumbers/>
      <w:spacing w:before="120" w:after="120"/>
    </w:pPr>
    <w:rPr>
      <w:i/>
      <w:iCs/>
    </w:rPr>
  </w:style>
  <w:style w:type="paragraph" w:customStyle="1" w:styleId="Index">
    <w:name w:val="Index"/>
    <w:basedOn w:val="Normalny"/>
    <w:pPr>
      <w:suppressLineNumbers/>
    </w:pPr>
  </w:style>
  <w:style w:type="paragraph" w:styleId="Tekstprzypisudolnego">
    <w:name w:val="footnote text"/>
    <w:aliases w:val="FA Fußnotentext"/>
    <w:basedOn w:val="Normalny"/>
    <w:link w:val="TekstprzypisudolnegoZnak"/>
    <w:semiHidden/>
    <w:rPr>
      <w:sz w:val="20"/>
      <w:szCs w:val="20"/>
    </w:rPr>
  </w:style>
  <w:style w:type="paragraph" w:styleId="Tekstpodstawowywcity">
    <w:name w:val="Body Text Indent"/>
    <w:basedOn w:val="Normalny"/>
    <w:pPr>
      <w:spacing w:line="360" w:lineRule="auto"/>
      <w:ind w:firstLine="709"/>
      <w:jc w:val="both"/>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przypisy">
    <w:name w:val="przypisy"/>
    <w:basedOn w:val="Tekstprzypisudolnego"/>
    <w:pPr>
      <w:ind w:left="113" w:hanging="113"/>
      <w:jc w:val="both"/>
    </w:pPr>
    <w:rPr>
      <w:rFonts w:ascii="Helvetica" w:hAnsi="Helvetica"/>
      <w:sz w:val="17"/>
    </w:rPr>
  </w:style>
  <w:style w:type="paragraph" w:customStyle="1" w:styleId="tekstprokuratury">
    <w:name w:val="tekst prokuratury"/>
    <w:basedOn w:val="Nagwek2"/>
    <w:pPr>
      <w:ind w:firstLine="284"/>
      <w:jc w:val="both"/>
    </w:pPr>
    <w:rPr>
      <w:rFonts w:ascii="Helvetica" w:hAnsi="Helvetica"/>
      <w:b w:val="0"/>
      <w:sz w:val="21"/>
    </w:rPr>
  </w:style>
  <w:style w:type="paragraph" w:customStyle="1" w:styleId="autorprokuratury">
    <w:name w:val="autor prokuratury"/>
    <w:basedOn w:val="tekstprokuratury"/>
    <w:pPr>
      <w:spacing w:after="360"/>
      <w:ind w:firstLine="0"/>
    </w:pPr>
    <w:rPr>
      <w:b/>
      <w:sz w:val="24"/>
    </w:rPr>
  </w:style>
  <w:style w:type="paragraph" w:customStyle="1" w:styleId="tytulprokuratury">
    <w:name w:val="tytul prokuratury"/>
    <w:basedOn w:val="tekstprokuratury"/>
    <w:pPr>
      <w:spacing w:after="320"/>
      <w:ind w:firstLine="0"/>
      <w:jc w:val="center"/>
    </w:pPr>
    <w:rPr>
      <w:b/>
      <w:sz w:val="31"/>
    </w:rPr>
  </w:style>
  <w:style w:type="paragraph" w:customStyle="1" w:styleId="podtytulprokuratury">
    <w:name w:val="podtytul prokuratury"/>
    <w:basedOn w:val="tekstprokuratury"/>
    <w:pPr>
      <w:spacing w:before="360" w:after="240"/>
      <w:ind w:firstLine="0"/>
    </w:pPr>
    <w:rPr>
      <w:b/>
      <w:sz w:val="24"/>
    </w:rPr>
  </w:style>
  <w:style w:type="paragraph" w:customStyle="1" w:styleId="kreska">
    <w:name w:val="kreska"/>
    <w:basedOn w:val="Normalny"/>
    <w:pPr>
      <w:jc w:val="both"/>
    </w:pPr>
    <w:rPr>
      <w:rFonts w:ascii="Helvetica" w:hAnsi="Helvetica"/>
      <w:sz w:val="21"/>
    </w:rPr>
  </w:style>
  <w:style w:type="paragraph" w:customStyle="1" w:styleId="podtytul2prokuratury">
    <w:name w:val="podtytul2 prokuratury"/>
    <w:basedOn w:val="tekstprokuratury"/>
    <w:pPr>
      <w:spacing w:before="120" w:after="120"/>
      <w:ind w:firstLine="0"/>
    </w:pPr>
    <w:rPr>
      <w:b/>
    </w:rPr>
  </w:style>
  <w:style w:type="paragraph" w:customStyle="1" w:styleId="BodyText2">
    <w:name w:val="Body Text 2"/>
    <w:basedOn w:val="Normalny"/>
    <w:pPr>
      <w:spacing w:before="48" w:line="360" w:lineRule="auto"/>
      <w:ind w:firstLine="720"/>
      <w:jc w:val="both"/>
    </w:pPr>
    <w:rPr>
      <w:rFonts w:ascii="Times New Roman" w:hAnsi="Times New Roman"/>
      <w:sz w:val="28"/>
      <w:lang w:val="pl-PL"/>
    </w:rPr>
  </w:style>
  <w:style w:type="paragraph" w:customStyle="1" w:styleId="Tekstpodstawowy21">
    <w:name w:val="Tekst podstawowy 21"/>
    <w:basedOn w:val="Normalny"/>
    <w:pPr>
      <w:jc w:val="center"/>
    </w:pPr>
    <w:rPr>
      <w:rFonts w:ascii="Times New Roman" w:hAnsi="Times New Roman"/>
      <w:b/>
      <w:sz w:val="22"/>
      <w:lang w:val="pl-PL"/>
    </w:rPr>
  </w:style>
  <w:style w:type="paragraph" w:customStyle="1" w:styleId="Tekstpodstawowy31">
    <w:name w:val="Tekst podstawowy 31"/>
    <w:basedOn w:val="Normalny"/>
    <w:pPr>
      <w:jc w:val="both"/>
    </w:pPr>
    <w:rPr>
      <w:rFonts w:ascii="Times New Roman" w:hAnsi="Times New Roman"/>
      <w:b/>
      <w:sz w:val="22"/>
      <w:lang w:val="pl-PL"/>
    </w:rPr>
  </w:style>
  <w:style w:type="paragraph" w:customStyle="1" w:styleId="Tekstpodstawowywcity21">
    <w:name w:val="Tekst podstawowy wcięty 21"/>
    <w:basedOn w:val="Normalny"/>
    <w:pPr>
      <w:ind w:firstLine="709"/>
      <w:jc w:val="both"/>
    </w:pPr>
    <w:rPr>
      <w:rFonts w:ascii="Times New Roman" w:hAnsi="Times New Roman"/>
      <w:sz w:val="22"/>
    </w:rPr>
  </w:style>
  <w:style w:type="paragraph" w:customStyle="1" w:styleId="FR4">
    <w:name w:val="FR4"/>
    <w:pPr>
      <w:widowControl w:val="0"/>
      <w:suppressAutoHyphens/>
      <w:autoSpaceDE w:val="0"/>
      <w:jc w:val="both"/>
    </w:pPr>
    <w:rPr>
      <w:rFonts w:ascii="Arial" w:hAnsi="Arial"/>
      <w:lang w:eastAsia="ar-SA"/>
    </w:rPr>
  </w:style>
  <w:style w:type="paragraph" w:customStyle="1" w:styleId="FR5">
    <w:name w:val="FR5"/>
    <w:pPr>
      <w:widowControl w:val="0"/>
      <w:suppressAutoHyphens/>
      <w:autoSpaceDE w:val="0"/>
      <w:spacing w:before="820" w:line="480" w:lineRule="auto"/>
      <w:jc w:val="both"/>
    </w:pPr>
    <w:rPr>
      <w:rFonts w:ascii="Courier New" w:hAnsi="Courier New"/>
      <w:sz w:val="18"/>
      <w:lang w:eastAsia="ar-SA"/>
    </w:rPr>
  </w:style>
  <w:style w:type="paragraph" w:customStyle="1" w:styleId="Tekstpodstawowywcity31">
    <w:name w:val="Tekst podstawowy wcięty 31"/>
    <w:basedOn w:val="Normalny"/>
    <w:pPr>
      <w:widowControl w:val="0"/>
      <w:autoSpaceDE w:val="0"/>
      <w:spacing w:before="60" w:line="360" w:lineRule="auto"/>
      <w:ind w:firstLine="700"/>
      <w:jc w:val="both"/>
    </w:pPr>
    <w:rPr>
      <w:rFonts w:ascii="Courier New" w:hAnsi="Courier New"/>
    </w:rPr>
  </w:style>
  <w:style w:type="paragraph" w:styleId="Tekstprzypisukocowego">
    <w:name w:val="endnote text"/>
    <w:basedOn w:val="Normalny"/>
    <w:link w:val="TekstprzypisukocowegoZnak"/>
    <w:semiHidden/>
    <w:rPr>
      <w:rFonts w:ascii="Times New Roman" w:hAnsi="Times New Roman"/>
      <w:sz w:val="20"/>
    </w:rPr>
  </w:style>
  <w:style w:type="paragraph" w:customStyle="1" w:styleId="Uchwaa">
    <w:name w:val="Uchwała"/>
    <w:pPr>
      <w:suppressAutoHyphens/>
      <w:jc w:val="both"/>
    </w:pPr>
    <w:rPr>
      <w:lang w:eastAsia="ar-SA"/>
    </w:rPr>
  </w:style>
  <w:style w:type="paragraph" w:customStyle="1" w:styleId="Styl1">
    <w:name w:val="Styl1"/>
    <w:basedOn w:val="Normalny"/>
    <w:pPr>
      <w:jc w:val="both"/>
    </w:pPr>
    <w:rPr>
      <w:rFonts w:ascii="Sylfaen" w:hAnsi="Sylfaen"/>
      <w:i/>
      <w:sz w:val="28"/>
    </w:rPr>
  </w:style>
  <w:style w:type="paragraph" w:customStyle="1" w:styleId="przekladka">
    <w:name w:val="przekladka"/>
    <w:basedOn w:val="tekstprokuratury"/>
    <w:pPr>
      <w:spacing w:before="480" w:after="1600"/>
      <w:ind w:firstLine="0"/>
      <w:jc w:val="center"/>
    </w:pPr>
    <w:rPr>
      <w:rFonts w:ascii="Arial" w:hAnsi="Arial"/>
      <w:b/>
      <w:caps/>
      <w:sz w:val="32"/>
    </w:rPr>
  </w:style>
  <w:style w:type="paragraph" w:styleId="NormalnyWeb">
    <w:name w:val="Normal (Web)"/>
    <w:basedOn w:val="Normalny"/>
    <w:pPr>
      <w:spacing w:before="100" w:after="100"/>
    </w:pPr>
    <w:rPr>
      <w:rFonts w:ascii="Times New Roman" w:hAnsi="Times New Roman"/>
    </w:rPr>
  </w:style>
  <w:style w:type="paragraph" w:customStyle="1" w:styleId="Plandokumentu1">
    <w:name w:val="Plan dokumentu1"/>
    <w:basedOn w:val="Normalny"/>
    <w:pPr>
      <w:shd w:val="clear" w:color="auto" w:fill="000080"/>
    </w:pPr>
    <w:rPr>
      <w:rFonts w:ascii="Tahoma" w:hAnsi="Tahoma" w:cs="Tahoma"/>
    </w:rPr>
  </w:style>
  <w:style w:type="paragraph" w:styleId="Tekstdymka">
    <w:name w:val="Balloon Text"/>
    <w:basedOn w:val="Normalny"/>
    <w:link w:val="TekstdymkaZnak"/>
    <w:rPr>
      <w:rFonts w:ascii="Tahoma" w:hAnsi="Tahoma" w:cs="Tahoma"/>
      <w:sz w:val="16"/>
      <w:szCs w:val="16"/>
    </w:rPr>
  </w:style>
  <w:style w:type="paragraph" w:customStyle="1" w:styleId="Styl">
    <w:name w:val="Styl"/>
    <w:pPr>
      <w:widowControl w:val="0"/>
      <w:suppressAutoHyphens/>
      <w:autoSpaceDE w:val="0"/>
    </w:pPr>
    <w:rPr>
      <w:sz w:val="24"/>
      <w:szCs w:val="24"/>
      <w:lang w:eastAsia="ar-SA"/>
    </w:rPr>
  </w:style>
  <w:style w:type="paragraph" w:customStyle="1" w:styleId="tekst">
    <w:name w:val="tekst"/>
    <w:pPr>
      <w:suppressAutoHyphens/>
      <w:autoSpaceDE w:val="0"/>
      <w:spacing w:line="264" w:lineRule="atLeast"/>
      <w:ind w:firstLine="384"/>
      <w:jc w:val="both"/>
    </w:pPr>
    <w:rPr>
      <w:color w:val="000000"/>
      <w:lang w:eastAsia="ar-SA"/>
    </w:rPr>
  </w:style>
  <w:style w:type="paragraph" w:customStyle="1" w:styleId="tekstbezwcicia">
    <w:name w:val="tekst bez wcięcia"/>
    <w:pPr>
      <w:suppressAutoHyphens/>
      <w:jc w:val="both"/>
    </w:pPr>
    <w:rPr>
      <w:sz w:val="24"/>
      <w:lang w:eastAsia="ar-SA"/>
    </w:rPr>
  </w:style>
  <w:style w:type="paragraph" w:customStyle="1" w:styleId="Legenda1">
    <w:name w:val="Legenda1"/>
    <w:basedOn w:val="Normalny"/>
    <w:next w:val="Normalny"/>
    <w:pPr>
      <w:spacing w:after="120"/>
      <w:ind w:firstLine="709"/>
      <w:jc w:val="both"/>
    </w:pPr>
    <w:rPr>
      <w:rFonts w:ascii="Times New Roman" w:hAnsi="Times New Roman"/>
      <w:b/>
      <w:sz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ytulangielski">
    <w:name w:val="tytul angielski"/>
    <w:basedOn w:val="tytulprokuratury"/>
    <w:pPr>
      <w:spacing w:after="0"/>
    </w:pPr>
    <w:rPr>
      <w:szCs w:val="21"/>
    </w:rPr>
  </w:style>
  <w:style w:type="paragraph" w:styleId="Tytu">
    <w:name w:val="Title"/>
    <w:basedOn w:val="Normalny"/>
    <w:next w:val="Podtytu"/>
    <w:qFormat/>
    <w:pPr>
      <w:jc w:val="center"/>
    </w:pPr>
    <w:rPr>
      <w:rFonts w:ascii="Times New Roman" w:hAnsi="Times New Roman"/>
      <w:b/>
      <w:sz w:val="32"/>
      <w:szCs w:val="32"/>
    </w:rPr>
  </w:style>
  <w:style w:type="paragraph" w:styleId="Podtytu">
    <w:name w:val="Subtitle"/>
    <w:basedOn w:val="Normalny"/>
    <w:next w:val="Tekstpodstawowy"/>
    <w:qFormat/>
    <w:rPr>
      <w:rFonts w:ascii="Arial" w:hAnsi="Arial"/>
      <w:i/>
      <w:sz w:val="21"/>
    </w:rPr>
  </w:style>
  <w:style w:type="paragraph" w:customStyle="1" w:styleId="Tekstblokowy1">
    <w:name w:val="Tekst blokowy1"/>
    <w:basedOn w:val="Normalny"/>
    <w:pPr>
      <w:ind w:left="357" w:right="-56" w:firstLine="62"/>
      <w:jc w:val="both"/>
    </w:pPr>
    <w:rPr>
      <w:rFonts w:ascii="Arial" w:hAnsi="Arial"/>
      <w:sz w:val="21"/>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Framecontents">
    <w:name w:val="Frame contents"/>
    <w:basedOn w:val="Tekstpodstawowy"/>
  </w:style>
  <w:style w:type="character" w:customStyle="1" w:styleId="txtsrodtytul">
    <w:name w:val="txtsrodtytul"/>
    <w:basedOn w:val="Domylnaczcionkaakapitu"/>
    <w:rsid w:val="00B71CEC"/>
  </w:style>
  <w:style w:type="character" w:customStyle="1" w:styleId="tabulatory">
    <w:name w:val="tabulatory"/>
    <w:basedOn w:val="Domylnaczcionkaakapitu"/>
    <w:rsid w:val="00B71CEC"/>
  </w:style>
  <w:style w:type="character" w:styleId="HTML-definicja">
    <w:name w:val="HTML Definition"/>
    <w:rsid w:val="00B71CEC"/>
    <w:rPr>
      <w:i/>
      <w:iCs/>
    </w:rPr>
  </w:style>
  <w:style w:type="paragraph" w:customStyle="1" w:styleId="paszczyznastandardowa">
    <w:name w:val="płaszczyzna standardowa"/>
    <w:basedOn w:val="Normalny"/>
    <w:rsid w:val="00B71CEC"/>
    <w:pPr>
      <w:spacing w:after="240"/>
      <w:jc w:val="both"/>
    </w:pPr>
    <w:rPr>
      <w:rFonts w:ascii="Times New Roman" w:hAnsi="Times New Roman"/>
      <w:szCs w:val="20"/>
      <w:lang w:eastAsia="pl-PL"/>
    </w:rPr>
  </w:style>
  <w:style w:type="paragraph" w:customStyle="1" w:styleId="ListParagraph">
    <w:name w:val="List Paragraph"/>
    <w:basedOn w:val="Normalny"/>
    <w:rsid w:val="00660070"/>
    <w:pPr>
      <w:spacing w:after="200" w:line="276" w:lineRule="auto"/>
      <w:ind w:left="720"/>
    </w:pPr>
    <w:rPr>
      <w:rFonts w:ascii="Calibri" w:hAnsi="Calibri"/>
      <w:sz w:val="22"/>
      <w:szCs w:val="22"/>
      <w:lang w:eastAsia="en-US"/>
    </w:rPr>
  </w:style>
  <w:style w:type="table" w:styleId="Tabela-Siatka">
    <w:name w:val="Table Grid"/>
    <w:basedOn w:val="Standardowy"/>
    <w:rsid w:val="005B3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3246D"/>
    <w:pPr>
      <w:widowControl w:val="0"/>
      <w:suppressAutoHyphens/>
      <w:autoSpaceDN w:val="0"/>
      <w:textAlignment w:val="baseline"/>
    </w:pPr>
    <w:rPr>
      <w:rFonts w:eastAsia="SimSun" w:cs="Mangal"/>
      <w:kern w:val="3"/>
      <w:sz w:val="24"/>
      <w:szCs w:val="24"/>
      <w:lang w:eastAsia="zh-CN" w:bidi="hi-IN"/>
    </w:rPr>
  </w:style>
  <w:style w:type="character" w:customStyle="1" w:styleId="TekstdymkaZnak">
    <w:name w:val="Tekst dymka Znak"/>
    <w:link w:val="Tekstdymka"/>
    <w:semiHidden/>
    <w:locked/>
    <w:rsid w:val="00E53695"/>
    <w:rPr>
      <w:rFonts w:ascii="Tahoma" w:hAnsi="Tahoma" w:cs="Tahoma"/>
      <w:sz w:val="16"/>
      <w:szCs w:val="16"/>
      <w:lang w:val="pl-PL" w:eastAsia="ar-SA" w:bidi="ar-SA"/>
    </w:rPr>
  </w:style>
  <w:style w:type="character" w:customStyle="1" w:styleId="TekstprzypisudolnegoZnak">
    <w:name w:val="Tekst przypisu dolnego Znak"/>
    <w:aliases w:val="FA Fußnotentext Znak"/>
    <w:link w:val="Tekstprzypisudolnego"/>
    <w:locked/>
    <w:rsid w:val="00E53695"/>
    <w:rPr>
      <w:rFonts w:ascii="Bookman Old Style" w:hAnsi="Bookman Old Style"/>
      <w:lang w:val="pl-PL" w:eastAsia="ar-SA" w:bidi="ar-SA"/>
    </w:rPr>
  </w:style>
  <w:style w:type="character" w:customStyle="1" w:styleId="TekstprzypisukocowegoZnak">
    <w:name w:val="Tekst przypisu końcowego Znak"/>
    <w:link w:val="Tekstprzypisukocowego"/>
    <w:semiHidden/>
    <w:locked/>
    <w:rsid w:val="00E53695"/>
    <w:rPr>
      <w:szCs w:val="24"/>
      <w:lang w:val="pl-PL" w:eastAsia="ar-SA" w:bidi="ar-SA"/>
    </w:rPr>
  </w:style>
  <w:style w:type="paragraph" w:customStyle="1" w:styleId="NoSpacing">
    <w:name w:val="No Spacing"/>
    <w:rsid w:val="00E53695"/>
    <w:rPr>
      <w:rFonts w:ascii="Calibri" w:hAnsi="Calibri"/>
      <w:sz w:val="22"/>
      <w:szCs w:val="22"/>
      <w:lang w:eastAsia="en-US"/>
    </w:rPr>
  </w:style>
  <w:style w:type="character" w:customStyle="1" w:styleId="ZnakZnak5">
    <w:name w:val=" Znak Znak5"/>
    <w:semiHidden/>
    <w:rsid w:val="00A15B44"/>
    <w:rPr>
      <w:rFonts w:eastAsia="Calibri"/>
      <w:lang w:eastAsia="en-US" w:bidi="ar-SA"/>
    </w:rPr>
  </w:style>
  <w:style w:type="paragraph" w:styleId="Tekstpodstawowy2">
    <w:name w:val="Body Text 2"/>
    <w:basedOn w:val="Normalny"/>
    <w:rsid w:val="00E97D32"/>
    <w:pPr>
      <w:spacing w:after="120" w:line="480" w:lineRule="auto"/>
    </w:pPr>
  </w:style>
  <w:style w:type="character" w:customStyle="1" w:styleId="st1">
    <w:name w:val="st1"/>
    <w:rsid w:val="000379F5"/>
  </w:style>
  <w:style w:type="paragraph" w:customStyle="1" w:styleId="Default">
    <w:name w:val="Default"/>
    <w:rsid w:val="000379F5"/>
    <w:pPr>
      <w:autoSpaceDE w:val="0"/>
      <w:autoSpaceDN w:val="0"/>
      <w:adjustRightInd w:val="0"/>
    </w:pPr>
    <w:rPr>
      <w:color w:val="000000"/>
      <w:sz w:val="24"/>
      <w:szCs w:val="24"/>
    </w:rPr>
  </w:style>
  <w:style w:type="paragraph" w:styleId="Akapitzlist">
    <w:name w:val="List Paragraph"/>
    <w:basedOn w:val="Normalny"/>
    <w:qFormat/>
    <w:rsid w:val="004C3B6B"/>
    <w:pPr>
      <w:spacing w:after="200" w:line="276" w:lineRule="auto"/>
      <w:ind w:left="720"/>
      <w:contextualSpacing/>
    </w:pPr>
    <w:rPr>
      <w:rFonts w:ascii="Calibri" w:eastAsia="Calibri" w:hAnsi="Calibri"/>
      <w:sz w:val="22"/>
      <w:szCs w:val="22"/>
      <w:lang w:eastAsia="en-US"/>
    </w:rPr>
  </w:style>
  <w:style w:type="paragraph" w:customStyle="1" w:styleId="StandardowyNB">
    <w:name w:val="Standardowy NB"/>
    <w:basedOn w:val="Normalny"/>
    <w:rsid w:val="00A17CEB"/>
    <w:pPr>
      <w:spacing w:line="360" w:lineRule="auto"/>
    </w:pPr>
    <w:rPr>
      <w:rFonts w:ascii="Times New Roman" w:hAnsi="Times New Roman"/>
      <w:szCs w:val="20"/>
      <w:lang w:eastAsia="pl-PL"/>
    </w:rPr>
  </w:style>
  <w:style w:type="character" w:customStyle="1" w:styleId="FAFunotentextZnakZnak">
    <w:name w:val="FA Fußnotentext Znak Znak"/>
    <w:basedOn w:val="Domylnaczcionkaakapitu"/>
    <w:rsid w:val="00A17CEB"/>
    <w:rPr>
      <w:rFonts w:ascii="Calibri" w:eastAsia="Calibri" w:hAnsi="Calibri"/>
      <w:lang w:val="pl-PL" w:eastAsia="en-US" w:bidi="ar-SA"/>
    </w:rPr>
  </w:style>
  <w:style w:type="character" w:customStyle="1" w:styleId="FootnoteTextChar">
    <w:name w:val="Footnote Text Char"/>
    <w:basedOn w:val="Domylnaczcionkaakapitu"/>
    <w:locked/>
    <w:rsid w:val="00D45825"/>
    <w:rPr>
      <w:rFonts w:ascii="Cambria" w:hAnsi="Cambria" w:cs="Mongolian Baiti"/>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5600</Words>
  <Characters>33606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Marek Mozgawa</vt:lpstr>
    </vt:vector>
  </TitlesOfParts>
  <Company/>
  <LinksUpToDate>false</LinksUpToDate>
  <CharactersWithSpaces>39128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Marek Mozgawa</dc:title>
  <dc:creator>Dorota Kaleta</dc:creator>
  <cp:lastModifiedBy>Dagmara Gruszeck</cp:lastModifiedBy>
  <cp:revision>2</cp:revision>
  <cp:lastPrinted>2014-12-01T08:22:00Z</cp:lastPrinted>
  <dcterms:created xsi:type="dcterms:W3CDTF">2015-01-29T15:55:00Z</dcterms:created>
  <dcterms:modified xsi:type="dcterms:W3CDTF">2015-01-29T15:55:00Z</dcterms:modified>
</cp:coreProperties>
</file>