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A9" w:rsidRPr="00E22CA0" w:rsidRDefault="00662ECD" w:rsidP="00374CB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22CA0">
        <w:rPr>
          <w:rFonts w:ascii="Times New Roman" w:hAnsi="Times New Roman" w:cs="Times New Roman"/>
          <w:color w:val="000000" w:themeColor="text1"/>
        </w:rPr>
        <w:t>Kazusy ZSP</w:t>
      </w:r>
    </w:p>
    <w:p w:rsidR="00662ECD" w:rsidRPr="00E22CA0" w:rsidRDefault="00662ECD" w:rsidP="00374CB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62ECD" w:rsidRPr="00E22CA0" w:rsidRDefault="00662ECD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2CA0">
        <w:rPr>
          <w:rFonts w:ascii="Times New Roman" w:hAnsi="Times New Roman" w:cs="Times New Roman"/>
          <w:color w:val="000000" w:themeColor="text1"/>
        </w:rPr>
        <w:t xml:space="preserve">Artur </w:t>
      </w:r>
      <w:r w:rsidR="00644947">
        <w:rPr>
          <w:rFonts w:ascii="Times New Roman" w:hAnsi="Times New Roman" w:cs="Times New Roman"/>
          <w:color w:val="000000" w:themeColor="text1"/>
        </w:rPr>
        <w:t>A</w:t>
      </w:r>
      <w:r w:rsidRPr="00E22CA0">
        <w:rPr>
          <w:rFonts w:ascii="Times New Roman" w:hAnsi="Times New Roman" w:cs="Times New Roman"/>
          <w:color w:val="000000" w:themeColor="text1"/>
        </w:rPr>
        <w:t xml:space="preserve">. został oskarżony za to, że w okresie od maja 2012 r. do 3 października 2018 r. w Z. znęcał się psychicznie i fizycznie nad żoną Anną </w:t>
      </w:r>
      <w:r w:rsidR="00644947">
        <w:rPr>
          <w:rFonts w:ascii="Times New Roman" w:hAnsi="Times New Roman" w:cs="Times New Roman"/>
          <w:color w:val="000000" w:themeColor="text1"/>
        </w:rPr>
        <w:t>A</w:t>
      </w:r>
      <w:r w:rsidRPr="00E22CA0">
        <w:rPr>
          <w:rFonts w:ascii="Times New Roman" w:hAnsi="Times New Roman" w:cs="Times New Roman"/>
          <w:color w:val="000000" w:themeColor="text1"/>
        </w:rPr>
        <w:t xml:space="preserve">. w ten sposób, że wyzywał ją słowami wulgarnymi, groził pobiciem, zabiciem, popychał, szarpał za ubranie, ściskał ręce i szyję, dusił, przystawiał do ciała noże i inne ostre przedmioty, zakładał na szyję sznurki grożąc powieszeniem, nadto w dniu 20 sierpnia 2017 r. usiłował ją udusić przy pomocy żyłki budowlanej w wyniku czego doznała ona obrzęku prawej żuchwy prawostronnie, podbiegnięć krwawych i otarć obu kończyn górnych, które to obrażenia ciała stały się przyczyną naruszenia czynności narządu ciała na okres poniżej dni siedmiu, tj. o przestępstwo z art. 207 § 1 k.k. i art. 157 § 2 k.k. w zw. z art. 11 § 2 k.k. Sąd Rejonowy w Z. umorzył postępowanie na podstawie art. 17 § 1 pkt 3 w zw. z art. 1 § 2 k.k., argumentując, że strony nadal są w związku małżeńskim, posiadają małoletnie dziecko, a wyrok skazujący jedynie ,,zaostrzyłby konflikt pomiędzy małżonkami”. Sąd zauważył, że oskarżony opiekuje się dzieckiem, co świadczy, iż nie jest on ,,tak złym ojcem i mężem” oraz że pokrzywdzona jest osobą aktywną zawodowo i przedsiębiorczą. </w:t>
      </w:r>
    </w:p>
    <w:p w:rsidR="00662ECD" w:rsidRPr="00E22CA0" w:rsidRDefault="00662ECD" w:rsidP="00374CB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62ECD" w:rsidRPr="00374CB1" w:rsidRDefault="00374CB1" w:rsidP="00374CB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74CB1">
        <w:rPr>
          <w:rFonts w:ascii="Times New Roman" w:hAnsi="Times New Roman" w:cs="Times New Roman"/>
          <w:b/>
          <w:color w:val="000000" w:themeColor="text1"/>
        </w:rPr>
        <w:t>Oceń</w:t>
      </w:r>
      <w:r w:rsidR="00662ECD" w:rsidRPr="00374CB1">
        <w:rPr>
          <w:rFonts w:ascii="Times New Roman" w:hAnsi="Times New Roman" w:cs="Times New Roman"/>
          <w:b/>
          <w:color w:val="000000" w:themeColor="text1"/>
        </w:rPr>
        <w:t xml:space="preserve"> prawidłowość wyroku sądu. </w:t>
      </w:r>
    </w:p>
    <w:p w:rsidR="00EF1CB3" w:rsidRPr="00E22CA0" w:rsidRDefault="00EF1CB3" w:rsidP="00374CB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1CB3" w:rsidRPr="00E22CA0" w:rsidRDefault="00303EA7" w:rsidP="00374CB1">
      <w:pPr>
        <w:pStyle w:val="NormalWeb"/>
        <w:numPr>
          <w:ilvl w:val="0"/>
          <w:numId w:val="1"/>
        </w:numPr>
        <w:spacing w:before="120" w:beforeAutospacing="0" w:after="150" w:afterAutospacing="0" w:line="360" w:lineRule="auto"/>
        <w:jc w:val="both"/>
        <w:rPr>
          <w:color w:val="000000" w:themeColor="text1"/>
        </w:rPr>
      </w:pPr>
      <w:r w:rsidRPr="00E22CA0">
        <w:rPr>
          <w:color w:val="000000" w:themeColor="text1"/>
          <w:shd w:val="clear" w:color="auto" w:fill="FFFFFF"/>
        </w:rPr>
        <w:t xml:space="preserve">W dniu </w:t>
      </w:r>
      <w:r w:rsidR="00EF1CB3" w:rsidRPr="00E22CA0">
        <w:rPr>
          <w:color w:val="000000" w:themeColor="text1"/>
          <w:shd w:val="clear" w:color="auto" w:fill="FFFFFF"/>
        </w:rPr>
        <w:t>13</w:t>
      </w:r>
      <w:r w:rsidRPr="00E22CA0">
        <w:rPr>
          <w:color w:val="000000" w:themeColor="text1"/>
          <w:shd w:val="clear" w:color="auto" w:fill="FFFFFF"/>
        </w:rPr>
        <w:t xml:space="preserve"> </w:t>
      </w:r>
      <w:r w:rsidR="00EF1CB3" w:rsidRPr="00E22CA0">
        <w:rPr>
          <w:color w:val="000000" w:themeColor="text1"/>
          <w:shd w:val="clear" w:color="auto" w:fill="FFFFFF"/>
        </w:rPr>
        <w:t>listopada</w:t>
      </w:r>
      <w:r w:rsidRPr="00E22CA0">
        <w:rPr>
          <w:color w:val="000000" w:themeColor="text1"/>
          <w:shd w:val="clear" w:color="auto" w:fill="FFFFFF"/>
        </w:rPr>
        <w:t xml:space="preserve"> 201</w:t>
      </w:r>
      <w:r w:rsidR="00EF1CB3" w:rsidRPr="00E22CA0">
        <w:rPr>
          <w:color w:val="000000" w:themeColor="text1"/>
          <w:shd w:val="clear" w:color="auto" w:fill="FFFFFF"/>
        </w:rPr>
        <w:t>9</w:t>
      </w:r>
      <w:r w:rsidRPr="00E22CA0">
        <w:rPr>
          <w:color w:val="000000" w:themeColor="text1"/>
          <w:shd w:val="clear" w:color="auto" w:fill="FFFFFF"/>
        </w:rPr>
        <w:t xml:space="preserve"> r., </w:t>
      </w:r>
      <w:r w:rsidR="00EF1CB3" w:rsidRPr="00E22CA0">
        <w:rPr>
          <w:color w:val="000000" w:themeColor="text1"/>
          <w:shd w:val="clear" w:color="auto" w:fill="FFFFFF"/>
        </w:rPr>
        <w:t xml:space="preserve">Barbara C. </w:t>
      </w:r>
      <w:r w:rsidRPr="00E22CA0">
        <w:rPr>
          <w:color w:val="000000" w:themeColor="text1"/>
          <w:shd w:val="clear" w:color="auto" w:fill="FFFFFF"/>
        </w:rPr>
        <w:t>jechała do pracy swoim samochodem</w:t>
      </w:r>
      <w:r w:rsidR="00644947">
        <w:rPr>
          <w:color w:val="000000" w:themeColor="text1"/>
          <w:shd w:val="clear" w:color="auto" w:fill="FFFFFF"/>
        </w:rPr>
        <w:t xml:space="preserve">. </w:t>
      </w:r>
      <w:r w:rsidRPr="00E22CA0">
        <w:rPr>
          <w:color w:val="000000" w:themeColor="text1"/>
          <w:shd w:val="clear" w:color="auto" w:fill="FFFFFF"/>
        </w:rPr>
        <w:t xml:space="preserve">Była trzeźwa, nie zażywała żadnych środków mogących obniżyć jej sprawność, jako kierowcy, a samochód był sprawny technicznie. Jechała wolno z prędkością około 30-40 km/h, bezpieczną i administracyjnie dopuszczalną. Jezdnie były wilgotne i w niektórych miejscach zalegały kałuże, w związku z wcześniejszymi opadami atmosferycznymi. Przejście dla pieszych, na którym doszło do wypadku, nie było właściwie oznaczone znakami w sposób określony przepisami ruchu drogowego. Przed przejściem, a także przed znajdującym się za nim kolejnym przejściem dla pieszych, nie było w ogóle umieszczonych pionowych znaków D-6. Jedynie powierzchnia przejścia dla pieszych była oznaczona znakiem poziomym P-10, przez jej oznaczenie białymi pasmami. W związku z zużyciem nawierzchni jezdni oraz jej remontami, polegającymi na uzupełnieniu fragmentów nawierzchni nowym asfaltem, białe pasy w obrębie przejścia dla pieszych, malowane na przełomie kwietnia i maja 2009 r., były </w:t>
      </w:r>
      <w:r w:rsidRPr="00E22CA0">
        <w:rPr>
          <w:color w:val="000000" w:themeColor="text1"/>
          <w:shd w:val="clear" w:color="auto" w:fill="FFFFFF"/>
        </w:rPr>
        <w:lastRenderedPageBreak/>
        <w:t xml:space="preserve">znacząco zdarte i częściowo niewidoczne w środkowym fragmencie przejścia. </w:t>
      </w:r>
      <w:r w:rsidR="00EF1CB3" w:rsidRPr="00E22CA0">
        <w:rPr>
          <w:color w:val="000000" w:themeColor="text1"/>
        </w:rPr>
        <w:t>Barbara C.</w:t>
      </w:r>
      <w:r w:rsidRPr="00E22CA0">
        <w:rPr>
          <w:color w:val="000000" w:themeColor="text1"/>
        </w:rPr>
        <w:t xml:space="preserve"> po przejechaniu rozległego skrzyżowania składającego się z pięciu ulic oraz placu, skręciła w lewo w ulicę </w:t>
      </w:r>
      <w:r w:rsidR="00EF1CB3" w:rsidRPr="00E22CA0">
        <w:rPr>
          <w:color w:val="000000" w:themeColor="text1"/>
        </w:rPr>
        <w:t>Długą</w:t>
      </w:r>
      <w:r w:rsidRPr="00E22CA0">
        <w:rPr>
          <w:color w:val="000000" w:themeColor="text1"/>
        </w:rPr>
        <w:t xml:space="preserve">. Wjeżdżając w tę ulicę potrąciła na pasach jezdni, wydzielonych dla pieszych, przechodzącego nimi </w:t>
      </w:r>
      <w:r w:rsidR="00EF1CB3" w:rsidRPr="00E22CA0">
        <w:rPr>
          <w:color w:val="000000" w:themeColor="text1"/>
        </w:rPr>
        <w:t>Tomasza</w:t>
      </w:r>
      <w:r w:rsidRPr="00E22CA0">
        <w:rPr>
          <w:color w:val="000000" w:themeColor="text1"/>
        </w:rPr>
        <w:t xml:space="preserve"> </w:t>
      </w:r>
      <w:r w:rsidR="00EF1CB3" w:rsidRPr="00E22CA0">
        <w:rPr>
          <w:color w:val="000000" w:themeColor="text1"/>
        </w:rPr>
        <w:t>Z</w:t>
      </w:r>
      <w:r w:rsidRPr="00E22CA0">
        <w:rPr>
          <w:color w:val="000000" w:themeColor="text1"/>
        </w:rPr>
        <w:t>. Pokrzywdzony wskutek uderzenia go zderzakiem samochodu, przewrócił się na maskę pojazdu, uderzył głową w jego przednią szybę, rozbijając ją. Samochód przez około 25 metrów toczył się z niewielką prędkością wioząc pokrzywdzonego na masce.</w:t>
      </w:r>
      <w:r w:rsidR="00EF1CB3" w:rsidRPr="00E22CA0">
        <w:rPr>
          <w:color w:val="000000" w:themeColor="text1"/>
        </w:rPr>
        <w:t xml:space="preserve"> </w:t>
      </w:r>
      <w:r w:rsidR="00EF1CB3" w:rsidRPr="00E22CA0">
        <w:rPr>
          <w:color w:val="000000" w:themeColor="text1"/>
        </w:rPr>
        <w:t>W wyniku wypadku pokrzywdzony doznał średniego uszczerbku na zdrowiu (art. 157 § 1 k.k.).</w:t>
      </w:r>
    </w:p>
    <w:p w:rsidR="00303EA7" w:rsidRPr="00E22CA0" w:rsidRDefault="00303EA7" w:rsidP="00374CB1">
      <w:pPr>
        <w:pStyle w:val="NormalWeb"/>
        <w:spacing w:before="120" w:beforeAutospacing="0" w:after="150" w:afterAutospacing="0" w:line="360" w:lineRule="auto"/>
        <w:ind w:left="720"/>
        <w:jc w:val="both"/>
        <w:rPr>
          <w:color w:val="000000" w:themeColor="text1"/>
        </w:rPr>
      </w:pPr>
      <w:r w:rsidRPr="00E22CA0">
        <w:rPr>
          <w:color w:val="000000" w:themeColor="text1"/>
        </w:rPr>
        <w:t xml:space="preserve">W dniu </w:t>
      </w:r>
      <w:r w:rsidR="00644947">
        <w:rPr>
          <w:color w:val="000000" w:themeColor="text1"/>
        </w:rPr>
        <w:t>15</w:t>
      </w:r>
      <w:r w:rsidRPr="00E22CA0">
        <w:rPr>
          <w:color w:val="000000" w:themeColor="text1"/>
        </w:rPr>
        <w:t xml:space="preserve"> </w:t>
      </w:r>
      <w:r w:rsidR="00644947">
        <w:rPr>
          <w:color w:val="000000" w:themeColor="text1"/>
        </w:rPr>
        <w:t>listopada</w:t>
      </w:r>
      <w:r w:rsidRPr="00E22CA0">
        <w:rPr>
          <w:color w:val="000000" w:themeColor="text1"/>
        </w:rPr>
        <w:t xml:space="preserve"> 20</w:t>
      </w:r>
      <w:r w:rsidR="00644947">
        <w:rPr>
          <w:color w:val="000000" w:themeColor="text1"/>
        </w:rPr>
        <w:t>19</w:t>
      </w:r>
      <w:r w:rsidRPr="00E22CA0">
        <w:rPr>
          <w:color w:val="000000" w:themeColor="text1"/>
        </w:rPr>
        <w:t xml:space="preserve"> r. </w:t>
      </w:r>
      <w:r w:rsidR="00EF1CB3" w:rsidRPr="00E22CA0">
        <w:rPr>
          <w:color w:val="000000" w:themeColor="text1"/>
        </w:rPr>
        <w:t>Barbara C.</w:t>
      </w:r>
      <w:r w:rsidRPr="00E22CA0">
        <w:rPr>
          <w:color w:val="000000" w:themeColor="text1"/>
        </w:rPr>
        <w:t xml:space="preserve"> list do pokrzywdzonego </w:t>
      </w:r>
      <w:r w:rsidR="00EF1CB3" w:rsidRPr="00E22CA0">
        <w:rPr>
          <w:color w:val="000000" w:themeColor="text1"/>
        </w:rPr>
        <w:t xml:space="preserve">Tomasza </w:t>
      </w:r>
      <w:r w:rsidR="00374CB1">
        <w:rPr>
          <w:color w:val="000000" w:themeColor="text1"/>
        </w:rPr>
        <w:t>Z</w:t>
      </w:r>
      <w:r w:rsidRPr="00E22CA0">
        <w:rPr>
          <w:color w:val="000000" w:themeColor="text1"/>
        </w:rPr>
        <w:t xml:space="preserve">., wyrażając współczucie i głęboki żal z powodu cierpień, jakich doznał. Przekazała także wszelkie dane, niezbędne dla wszczęcia procedury wypłaty odszkodowania, ponadto interesowała się stanem zdrowia pokrzywdzonego, postępami w leczeniu, a także podjęła działania dla jak najszybszego przyznania mu odszkodowania przez firmę ubezpieczeniową. </w:t>
      </w:r>
      <w:r w:rsidR="00374CB1">
        <w:rPr>
          <w:color w:val="000000" w:themeColor="text1"/>
        </w:rPr>
        <w:t xml:space="preserve">W dniu 1 grudnia 2019 r. Barbara C. </w:t>
      </w:r>
      <w:bookmarkStart w:id="0" w:name="_GoBack"/>
      <w:bookmarkEnd w:id="0"/>
      <w:r w:rsidR="00374CB1">
        <w:rPr>
          <w:color w:val="000000" w:themeColor="text1"/>
        </w:rPr>
        <w:t xml:space="preserve">ostała oskarżona o czyn z art. 177 k.k. </w:t>
      </w:r>
    </w:p>
    <w:p w:rsidR="00EF1CB3" w:rsidRPr="00374CB1" w:rsidRDefault="00374CB1" w:rsidP="00374CB1">
      <w:pPr>
        <w:pStyle w:val="NormalWeb"/>
        <w:spacing w:before="120" w:beforeAutospacing="0" w:after="150" w:afterAutospacing="0" w:line="360" w:lineRule="auto"/>
        <w:ind w:left="720"/>
        <w:jc w:val="both"/>
        <w:rPr>
          <w:b/>
          <w:color w:val="000000" w:themeColor="text1"/>
        </w:rPr>
      </w:pPr>
      <w:r w:rsidRPr="00374CB1">
        <w:rPr>
          <w:b/>
          <w:color w:val="000000" w:themeColor="text1"/>
        </w:rPr>
        <w:t>Oceń</w:t>
      </w:r>
      <w:r w:rsidR="00EF1CB3" w:rsidRPr="00374CB1">
        <w:rPr>
          <w:b/>
          <w:color w:val="000000" w:themeColor="text1"/>
        </w:rPr>
        <w:t xml:space="preserve"> zaistniałe zdarzenie z perspektywy dogmatycznej struktury przestępstwa. </w:t>
      </w:r>
    </w:p>
    <w:p w:rsidR="00303EA7" w:rsidRPr="00303EA7" w:rsidRDefault="00303EA7" w:rsidP="00374CB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22CA0" w:rsidRDefault="00EF1CB3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E22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Czesław P. Został oskarżony o to, że w dniu 27 lutego 2007 r. w K., działając jako lekarz wykonujący zabieg cięcia cesarskiego kończący ciążę Hanny Z. w wyniku braku należytej staranności przed zamknięciem powłok jamy brzusznej nie usunął dokonanego w trakcie zabiegu podwiązania moczowodu, co skutkowało u pokrzywdzonej zablokowaniem odpływu moczu z nerki prawej czym nieumyślnie naraził Hannę Z. na bezpośrednie niebezpieczeństwo ciężkiego uszczerbku na zdrowiu, tj. o czyn z art. 160 § 3 k.k. Sąd </w:t>
      </w:r>
      <w:r w:rsidR="00E22CA0" w:rsidRPr="00E22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Rejonowy w K. umorzył postępowanie w sprawie na mocy art. 17 § 1 pkt 3 k.p.k. w zw. z art. 1 § 2 k.k., wskazując, że poród miał dramatyczny przebieg, w trakcie którego doszło do krwawienia, zagrażającego poważnie zdrowiu pokrzywdzonej. Sąd podkreślił motywację sprawcy, która wiązała się z działaniem zmierzającym do ochrony życia i zdrowia pokrzywdzonej oraz jej dziecka; trudności w sprawdzeniu drożności moczowodu spowodowanych obfitym krwawieniem i koniecznością zaopatrzenia pękniętych naczyń. W opiniach sądowo - lekarskich sporządzonych na potrzeby sprawy niniejszej stwierdzono, że niesprawdzenie drożności moczowodu przez oskarżonego nie stanowiło błędu lekarskiego. Niemniej jednak wskazywano także, że oskarżony jako specjalista </w:t>
      </w:r>
      <w:r w:rsidR="00E22CA0" w:rsidRPr="00E22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położnictwa podczas cięcia cesarskiego musi przewidywać powikłania związane z możliwością objęcia moczowodu polem operacyjnym. Z tego też powodu winien dokonać sprawdzenia drożności moczowodu najpóźniej w krótkim czasie po operacji.</w:t>
      </w:r>
    </w:p>
    <w:p w:rsidR="00374CB1" w:rsidRPr="00E22CA0" w:rsidRDefault="00374CB1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E22CA0" w:rsidRPr="00374CB1" w:rsidRDefault="00374CB1" w:rsidP="00374CB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74CB1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Oceń</w:t>
      </w:r>
      <w:r w:rsidR="00E22CA0" w:rsidRPr="00374CB1">
        <w:rPr>
          <w:rFonts w:ascii="Times New Roman" w:hAnsi="Times New Roman" w:cs="Times New Roman"/>
          <w:b/>
          <w:color w:val="000000" w:themeColor="text1"/>
        </w:rPr>
        <w:t xml:space="preserve"> prawidłowość wyroku sądu. </w:t>
      </w:r>
    </w:p>
    <w:p w:rsidR="00E22CA0" w:rsidRPr="00E22CA0" w:rsidRDefault="00E22CA0" w:rsidP="00374CB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84B77" w:rsidRDefault="00B970C8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 dniu 10 grudnia 2018 r., przy przeszukaniu mieszkania Jacka J. funkcjonariusze Policji zabezpieczyli podrobione siedem sztuk banknotów o nominale 20 zł. Jacek J. został oskarżony o przestępstwo z art. 310 § 1 k.k. W toku przewodu sądowego ustalono, że Jacek J. Wziął oryginalny banknot 20 złotowy, włożył do skanera i utworzył jego obraz komputerowy, a następnie przy użyciu laptopa oraz urządzenia wielofunkcyjnego wydrukował go dwustronnie w siedmiu egzemplarzach. Jeden z tak sporządzonych falsyfikatów wyciął, a pozostałe zachował na kartkach. Następnie wszystkie egzemplarze banknotów włożył do pudełka i przechowywał w szafie. Oskarżony wyjaśniał, że banknoty chciał wykorzystać do gry w monopol, którą miał w domu. Wyciął tylko jeden banknot, a następnie zrezygnował, gdyż mu się znudziło, a same banknoty nie pasowały do rozmiarów gry. Oskarżony zaznaczał, że nigdzie nie miał zamiaru tak wydrukowanych ,,pieniędzy” używać w obrocie. Obrońca Jacka J. </w:t>
      </w:r>
      <w:r w:rsidR="00067FC8">
        <w:rPr>
          <w:rFonts w:ascii="Times New Roman" w:eastAsia="Times New Roman" w:hAnsi="Times New Roman" w:cs="Times New Roman"/>
          <w:color w:val="000000" w:themeColor="text1"/>
        </w:rPr>
        <w:t>p</w:t>
      </w:r>
      <w:r>
        <w:rPr>
          <w:rFonts w:ascii="Times New Roman" w:eastAsia="Times New Roman" w:hAnsi="Times New Roman" w:cs="Times New Roman"/>
          <w:color w:val="000000" w:themeColor="text1"/>
        </w:rPr>
        <w:t>rzekonywał</w:t>
      </w:r>
      <w:r w:rsidR="00067FC8">
        <w:rPr>
          <w:rFonts w:ascii="Times New Roman" w:eastAsia="Times New Roman" w:hAnsi="Times New Roman" w:cs="Times New Roman"/>
          <w:color w:val="000000" w:themeColor="text1"/>
        </w:rPr>
        <w:t xml:space="preserve">, że ze względu na niską wartość podrobionych banknotów, a także ze względu na postawę oskarżonego należałoby przyjąć wypadek mniejszej wagi, określony w art. 310 § 3 k.k. oraz zastosować nadzwyczajne złagodzenie kary wobec Jacka J. </w:t>
      </w:r>
    </w:p>
    <w:p w:rsidR="00067FC8" w:rsidRDefault="00067FC8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67FC8" w:rsidRPr="00374CB1" w:rsidRDefault="00067FC8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74CB1">
        <w:rPr>
          <w:rFonts w:ascii="Times New Roman" w:eastAsia="Times New Roman" w:hAnsi="Times New Roman" w:cs="Times New Roman"/>
          <w:b/>
          <w:color w:val="000000" w:themeColor="text1"/>
        </w:rPr>
        <w:t xml:space="preserve">Czy linia obrony przyjęta przez obrońcę jest prawidłowa? </w:t>
      </w:r>
    </w:p>
    <w:p w:rsidR="00067FC8" w:rsidRDefault="00067FC8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67FC8" w:rsidRDefault="004926A7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Wojciech W. w dniu 1 grudnia 2019 r. został skazany na karę roku pozbawienia wolności za posiadanie środka odurzającego w postaci konopi innych niż włókniste (marihuany) w ilości 0,1 grama, tj. za czyn z art. 62 ustawy o przeciwdziałaniu narkomanii. Sąd zauważył, że co prawda oskarżony nie posiadał dużej ilości tego środka, jednakże na gruncie ustawy o przeciwdziałaniu narkomanii posiadanie każdej ilości środków odurzających lub substancji psychotropowych podlega karze. </w:t>
      </w:r>
    </w:p>
    <w:p w:rsidR="004926A7" w:rsidRDefault="004926A7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26A7" w:rsidRPr="00374CB1" w:rsidRDefault="004926A7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74CB1">
        <w:rPr>
          <w:rFonts w:ascii="Times New Roman" w:eastAsia="Times New Roman" w:hAnsi="Times New Roman" w:cs="Times New Roman"/>
          <w:b/>
          <w:color w:val="000000" w:themeColor="text1"/>
        </w:rPr>
        <w:t xml:space="preserve">Oceń prawidłowość wyroku. </w:t>
      </w:r>
    </w:p>
    <w:p w:rsidR="004926A7" w:rsidRPr="00374CB1" w:rsidRDefault="004926A7" w:rsidP="00374CB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F1CB3" w:rsidRDefault="002D6459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Marian P. został oskarżony o to, że w dniu 10 </w:t>
      </w:r>
      <w:r w:rsidR="00300744">
        <w:rPr>
          <w:rFonts w:ascii="Times New Roman" w:eastAsia="Times New Roman" w:hAnsi="Times New Roman" w:cs="Times New Roman"/>
          <w:color w:val="000000" w:themeColor="text1"/>
        </w:rPr>
        <w:t>grudnia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00744">
        <w:rPr>
          <w:rFonts w:ascii="Times New Roman" w:eastAsia="Times New Roman" w:hAnsi="Times New Roman" w:cs="Times New Roman"/>
          <w:color w:val="000000" w:themeColor="text1"/>
        </w:rPr>
        <w:t xml:space="preserve">2003 r., mając 28 lat, obcował płciowo z  Katarzyną K., która wówczas miała lat 14. Oskarżony w toku postępowania sądowego wyjaśniał, że Katarzyna K. sama namawiała go na odbycie stosunku płciowego. Katarzyna K. przesłuchiwana jako świadek potwierdziła tę wersję zdarzeń. </w:t>
      </w:r>
    </w:p>
    <w:p w:rsidR="00300744" w:rsidRDefault="00300744" w:rsidP="00374CB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00744" w:rsidRPr="00374CB1" w:rsidRDefault="00300744" w:rsidP="00374CB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74CB1">
        <w:rPr>
          <w:rFonts w:ascii="Times New Roman" w:eastAsia="Times New Roman" w:hAnsi="Times New Roman" w:cs="Times New Roman"/>
          <w:b/>
          <w:color w:val="000000" w:themeColor="text1"/>
        </w:rPr>
        <w:t xml:space="preserve">Czy Marian P. odpowie za przestępstwo z art. 200 k.k.? </w:t>
      </w:r>
    </w:p>
    <w:p w:rsidR="00300744" w:rsidRPr="00300744" w:rsidRDefault="00300744" w:rsidP="00374CB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03EA7" w:rsidRDefault="00AA0865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3493C">
        <w:rPr>
          <w:rFonts w:ascii="Times New Roman" w:eastAsia="Times New Roman" w:hAnsi="Times New Roman" w:cs="Times New Roman"/>
          <w:color w:val="000000" w:themeColor="text1"/>
        </w:rPr>
        <w:t xml:space="preserve">W dniu </w:t>
      </w:r>
      <w:r w:rsidR="0043493C" w:rsidRPr="0043493C">
        <w:rPr>
          <w:rFonts w:ascii="Times New Roman" w:eastAsia="Times New Roman" w:hAnsi="Times New Roman" w:cs="Times New Roman"/>
          <w:color w:val="000000" w:themeColor="text1"/>
        </w:rPr>
        <w:t xml:space="preserve">10 </w:t>
      </w:r>
      <w:r w:rsidR="003606BC">
        <w:rPr>
          <w:rFonts w:ascii="Times New Roman" w:eastAsia="Times New Roman" w:hAnsi="Times New Roman" w:cs="Times New Roman"/>
          <w:color w:val="000000" w:themeColor="text1"/>
        </w:rPr>
        <w:t>września</w:t>
      </w:r>
      <w:r w:rsidR="0043493C" w:rsidRPr="0043493C">
        <w:rPr>
          <w:rFonts w:ascii="Times New Roman" w:eastAsia="Times New Roman" w:hAnsi="Times New Roman" w:cs="Times New Roman"/>
          <w:color w:val="000000" w:themeColor="text1"/>
        </w:rPr>
        <w:t xml:space="preserve"> 2018 r. </w:t>
      </w:r>
      <w:r w:rsidR="0043493C">
        <w:rPr>
          <w:rFonts w:ascii="Times New Roman" w:eastAsia="Times New Roman" w:hAnsi="Times New Roman" w:cs="Times New Roman"/>
          <w:color w:val="000000" w:themeColor="text1"/>
        </w:rPr>
        <w:t xml:space="preserve">Dariusz D., będący nauczycielem wychowawcą w Szkole Podstawowej nr 11 w K., wybrał się z uczniami na wycieczkę górską w Tatry. W dniu poprzedzającym TOPR wydał oświadczenie, zgodnie z którym w rejonie górskim zapowiadano silne opady deszczu i wiatr, odradzając </w:t>
      </w:r>
      <w:r w:rsidR="001A48D6">
        <w:rPr>
          <w:rFonts w:ascii="Times New Roman" w:eastAsia="Times New Roman" w:hAnsi="Times New Roman" w:cs="Times New Roman"/>
          <w:color w:val="000000" w:themeColor="text1"/>
        </w:rPr>
        <w:t>jakiekolwiek wycieczki w góry w ciągu najbliższych paru dni. W połowie drogi na szczyt Dariusz D. zdał sobie sprawę z tego, że jego kondycja nie jest już taka, jak kiedyś i nie da rady poprowadzić dalej wycieczki. Jeden z rodziców uczestniczących w wycieczce (Edmund E.) jako opiekun poradził Dariuszowi D., aby ten wrócił na parking i poczekał przy autokarze, a on poprowadzi dalej grupę. Dariusz D. przystał na tę propozycję</w:t>
      </w:r>
      <w:r w:rsidR="003606BC">
        <w:rPr>
          <w:rFonts w:ascii="Times New Roman" w:eastAsia="Times New Roman" w:hAnsi="Times New Roman" w:cs="Times New Roman"/>
          <w:color w:val="000000" w:themeColor="text1"/>
        </w:rPr>
        <w:t>, informując jednocześnie Edmunda E. o komunikacie TOPR i doradził mu, że gdyby pogoda się pogorszyła, to należałoby przerwać wycieczkę. Edmund E. skinął głową, lecz stwierdził, że pogoda nie jest zła, a dzieci mają ze sobą kurtki przeciwdeszczowe.</w:t>
      </w:r>
    </w:p>
    <w:p w:rsidR="003606BC" w:rsidRPr="003606BC" w:rsidRDefault="001A48D6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Po powrocie uczniów do domów, niektórzy z zaniepokojonych rodziców zawiadomili prokuraturę o możliwości popełnienia przestępstwa z art. 160 § 3 k.k. zarówno poprzez Dariusza D., jak i Edmunda E. Prokuratura umorzyła sprawę argumentując, że </w:t>
      </w:r>
      <w:r w:rsidRPr="003606BC">
        <w:rPr>
          <w:rFonts w:ascii="Times New Roman" w:eastAsia="Times New Roman" w:hAnsi="Times New Roman" w:cs="Times New Roman"/>
          <w:color w:val="000000" w:themeColor="text1"/>
        </w:rPr>
        <w:t>dzieciom nic się nie stało, a tego dnia w rejonie górskim nawet nie padało.</w:t>
      </w:r>
    </w:p>
    <w:p w:rsidR="001A48D6" w:rsidRDefault="001A48D6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A48D6" w:rsidRPr="00374CB1" w:rsidRDefault="001A48D6" w:rsidP="00374CB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74CB1">
        <w:rPr>
          <w:rFonts w:ascii="Times New Roman" w:eastAsia="Times New Roman" w:hAnsi="Times New Roman" w:cs="Times New Roman"/>
          <w:b/>
          <w:color w:val="000000" w:themeColor="text1"/>
        </w:rPr>
        <w:t xml:space="preserve">Oceń decyzję Prokuratury. Kto i na jakiej zasadzie mógłby ponieść odpowiedzialność karną? </w:t>
      </w:r>
    </w:p>
    <w:p w:rsidR="003606BC" w:rsidRPr="00374CB1" w:rsidRDefault="003606BC" w:rsidP="00374CB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26A7" w:rsidRDefault="008C4A99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Zygmunt Z. postanowił odebrać sobie życie. W tym celu nabył od nieznanej osoby broń palną. Samobójstwa postanowił dokonać w swoim domu w godzinach wieczornych. W momencie, gdy już przeładował oraz odbezpieczył broń, do domu wszedł jego znajomy, Jan J. Widząc broń w ręku Zygmunta Z. i wiedząc o jego stanach depresyjnych, postanowił postarać się zmienić jego zdanie. Zygmunt Z. trzymał broń w prawej ręce, kierując lufę do góry, trzymając palec na języku spustowym. Jan J. początkowo starał się uspokoić Zygmunta Z. i przekonać go, by odłożył broń, lecz po chwili zmienił </w:t>
      </w:r>
      <w:r>
        <w:rPr>
          <w:rFonts w:ascii="Times New Roman" w:hAnsi="Times New Roman" w:cs="Times New Roman"/>
          <w:color w:val="000000" w:themeColor="text1"/>
        </w:rPr>
        <w:lastRenderedPageBreak/>
        <w:t>strategię i podbiegł do niego</w:t>
      </w:r>
      <w:r w:rsidR="009A0C47">
        <w:rPr>
          <w:rFonts w:ascii="Times New Roman" w:hAnsi="Times New Roman" w:cs="Times New Roman"/>
          <w:color w:val="000000" w:themeColor="text1"/>
        </w:rPr>
        <w:t xml:space="preserve">. W momencie gdy Jan J. </w:t>
      </w:r>
      <w:r>
        <w:rPr>
          <w:rFonts w:ascii="Times New Roman" w:hAnsi="Times New Roman" w:cs="Times New Roman"/>
          <w:color w:val="000000" w:themeColor="text1"/>
        </w:rPr>
        <w:t>chwycił lewą ręką lufę, ściągając ją do dołu</w:t>
      </w:r>
      <w:r w:rsidR="009A0C47">
        <w:rPr>
          <w:rFonts w:ascii="Times New Roman" w:hAnsi="Times New Roman" w:cs="Times New Roman"/>
          <w:color w:val="000000" w:themeColor="text1"/>
        </w:rPr>
        <w:t xml:space="preserve">, padł strzał, w którego efekcie Jan J. poniósł śmierć. </w:t>
      </w:r>
    </w:p>
    <w:p w:rsidR="009A0C47" w:rsidRDefault="009A0C47" w:rsidP="00374CB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A0C47" w:rsidRPr="00374CB1" w:rsidRDefault="009A0C47" w:rsidP="00374CB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74CB1">
        <w:rPr>
          <w:rFonts w:ascii="Times New Roman" w:hAnsi="Times New Roman" w:cs="Times New Roman"/>
          <w:b/>
          <w:color w:val="000000" w:themeColor="text1"/>
        </w:rPr>
        <w:t>Czy Zygmunt Z. poniesie odpowiedzialność karną za śmierć Jana J.?</w:t>
      </w:r>
      <w:r w:rsidR="00BF55CA" w:rsidRPr="00374CB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A0C47" w:rsidRPr="00374CB1" w:rsidRDefault="009A0C47" w:rsidP="00374CB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A0C47" w:rsidRDefault="009A0C47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dniu 8 lutego 2019 r. </w:t>
      </w:r>
      <w:r w:rsidR="00BF55CA">
        <w:rPr>
          <w:rFonts w:ascii="Times New Roman" w:hAnsi="Times New Roman" w:cs="Times New Roman"/>
          <w:color w:val="000000" w:themeColor="text1"/>
        </w:rPr>
        <w:t xml:space="preserve">policjant </w:t>
      </w:r>
      <w:r>
        <w:rPr>
          <w:rFonts w:ascii="Times New Roman" w:hAnsi="Times New Roman" w:cs="Times New Roman"/>
          <w:color w:val="000000" w:themeColor="text1"/>
        </w:rPr>
        <w:t xml:space="preserve">Grzegorz G. zauważył list pod drzwiami swojego mieszkania. Z treści listu wynikało, że nieznajomi sprawcy porwali jego żonę. Jeśli Grzegorz G. chce ją jeszcze zobaczyć żywą, to następnego dnia miał pozbawić życia swojego </w:t>
      </w:r>
      <w:r w:rsidR="00BF55CA">
        <w:rPr>
          <w:rFonts w:ascii="Times New Roman" w:hAnsi="Times New Roman" w:cs="Times New Roman"/>
          <w:color w:val="000000" w:themeColor="text1"/>
        </w:rPr>
        <w:t>przełożonego</w:t>
      </w:r>
      <w:r>
        <w:rPr>
          <w:rFonts w:ascii="Times New Roman" w:hAnsi="Times New Roman" w:cs="Times New Roman"/>
          <w:color w:val="000000" w:themeColor="text1"/>
        </w:rPr>
        <w:t>, Krzysztofa K. Grzegorz G. pomyślał, że to</w:t>
      </w:r>
      <w:r w:rsidR="00BF55C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nieśmieszny żart, jednak po kilkunastu nieodebranych połączeniach telefonicznych oraz gdy jego żona nie zjawiła się na noc w domu, uznał, że groźba jest realna. </w:t>
      </w:r>
      <w:r w:rsidR="00BF55CA">
        <w:rPr>
          <w:rFonts w:ascii="Times New Roman" w:hAnsi="Times New Roman" w:cs="Times New Roman"/>
          <w:color w:val="000000" w:themeColor="text1"/>
        </w:rPr>
        <w:t xml:space="preserve">Następnego dnia użył swojej służbowej broni palnej i zabił Krzysztofa K. </w:t>
      </w:r>
    </w:p>
    <w:p w:rsidR="00BF55CA" w:rsidRDefault="00BF55CA" w:rsidP="00374CB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F55CA" w:rsidRPr="00374CB1" w:rsidRDefault="00BF55CA" w:rsidP="00374CB1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374CB1">
        <w:rPr>
          <w:rFonts w:ascii="Times New Roman" w:hAnsi="Times New Roman" w:cs="Times New Roman"/>
          <w:b/>
          <w:color w:val="000000" w:themeColor="text1"/>
        </w:rPr>
        <w:t xml:space="preserve">Czy Grzegorz G. poniesie odpowiedzialność karną z śmierć Krzysztofa K.? </w:t>
      </w:r>
    </w:p>
    <w:p w:rsidR="00BF55CA" w:rsidRPr="00BF55CA" w:rsidRDefault="00BF55CA" w:rsidP="00374CB1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662ECD" w:rsidRDefault="00D84B77" w:rsidP="00374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16-letni </w:t>
      </w:r>
      <w:r w:rsidR="008D7E07">
        <w:rPr>
          <w:rFonts w:ascii="Times New Roman" w:hAnsi="Times New Roman" w:cs="Times New Roman"/>
          <w:color w:val="000000" w:themeColor="text1"/>
        </w:rPr>
        <w:t>Franciszek F.</w:t>
      </w:r>
      <w:r>
        <w:rPr>
          <w:rFonts w:ascii="Times New Roman" w:hAnsi="Times New Roman" w:cs="Times New Roman"/>
          <w:color w:val="000000" w:themeColor="text1"/>
        </w:rPr>
        <w:t xml:space="preserve"> dnia 20 maja 2018 r. postanowił zabić swojego nauczyciela matematyki, Henryka Z., z powodu wystawienia mu oceny niedostatecznej na świadectwie końcowym. Zabrał z domu nóż kuchenny, a następnie udał się do szkoły. Poprosił Henryka Z. o rozmowę po lekcjach. Gdy wszyscy uczniowie wyszli z klasy, Franciszek F. zadał nauczycielowi dziesięć ciosów nożem w okolice klatki piersiowej, a następnie wybiegł z pomieszczenia. Wychodząc ze szkoły spotkał swoich kolegów, 16-letniego Szymona Sz. i 17-letniego Marka M. Powiedział im o tym, co zrobił, na co koledzy zgodnie stwierdzili, że dobrze tak nauczycielowi, za to, jak traktuje uczniów.</w:t>
      </w:r>
    </w:p>
    <w:p w:rsidR="00D84B77" w:rsidRDefault="00D84B77" w:rsidP="00374CB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84B77" w:rsidRPr="00374CB1" w:rsidRDefault="00D84B77" w:rsidP="00374CB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74CB1">
        <w:rPr>
          <w:rFonts w:ascii="Times New Roman" w:hAnsi="Times New Roman" w:cs="Times New Roman"/>
          <w:b/>
          <w:color w:val="000000" w:themeColor="text1"/>
        </w:rPr>
        <w:t xml:space="preserve">Oceń odpowiedzialność karną Franciszka F., Szymona Sz. i Marka M. (zob. art. 240 k.k.) </w:t>
      </w:r>
    </w:p>
    <w:p w:rsidR="00662ECD" w:rsidRPr="00374CB1" w:rsidRDefault="00662ECD" w:rsidP="00374CB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62ECD" w:rsidRPr="00374CB1" w:rsidSect="006974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7120"/>
    <w:multiLevelType w:val="hybridMultilevel"/>
    <w:tmpl w:val="57E0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D"/>
    <w:rsid w:val="00067FC8"/>
    <w:rsid w:val="001A48D6"/>
    <w:rsid w:val="002D6459"/>
    <w:rsid w:val="00300744"/>
    <w:rsid w:val="00303EA7"/>
    <w:rsid w:val="00322BCC"/>
    <w:rsid w:val="003606BC"/>
    <w:rsid w:val="00374CB1"/>
    <w:rsid w:val="0043493C"/>
    <w:rsid w:val="004926A7"/>
    <w:rsid w:val="00644947"/>
    <w:rsid w:val="00662ECD"/>
    <w:rsid w:val="0069744A"/>
    <w:rsid w:val="008C4A99"/>
    <w:rsid w:val="008D7E07"/>
    <w:rsid w:val="00927678"/>
    <w:rsid w:val="009A0C47"/>
    <w:rsid w:val="00AA0865"/>
    <w:rsid w:val="00B90802"/>
    <w:rsid w:val="00B970C8"/>
    <w:rsid w:val="00BF55CA"/>
    <w:rsid w:val="00C37E85"/>
    <w:rsid w:val="00C567B5"/>
    <w:rsid w:val="00D84B77"/>
    <w:rsid w:val="00E22CA0"/>
    <w:rsid w:val="00E80ACA"/>
    <w:rsid w:val="00EF1CB3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2E6C7D"/>
  <w15:chartTrackingRefBased/>
  <w15:docId w15:val="{8B4EA288-52F7-3649-8D82-C3775670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E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3E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DEDEDE"/>
            <w:right w:val="none" w:sz="0" w:space="0" w:color="auto"/>
          </w:divBdr>
          <w:divsChild>
            <w:div w:id="7368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2020-10-12T20:39:00Z</dcterms:created>
  <dcterms:modified xsi:type="dcterms:W3CDTF">2020-10-12T20:39:00Z</dcterms:modified>
</cp:coreProperties>
</file>