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92D0" w14:textId="77777777" w:rsidR="00786575" w:rsidRDefault="00786575" w:rsidP="00786575">
      <w:pPr>
        <w:rPr>
          <w:b/>
        </w:rPr>
      </w:pPr>
    </w:p>
    <w:p w14:paraId="1FF9FF25" w14:textId="77777777" w:rsidR="00786575" w:rsidRDefault="00786575" w:rsidP="00786575">
      <w:pPr>
        <w:rPr>
          <w:b/>
        </w:rPr>
      </w:pPr>
      <w:r>
        <w:rPr>
          <w:b/>
        </w:rPr>
        <w:t>Konspekt wykładów dr Aleksandry Szadok-Bratuń</w:t>
      </w:r>
    </w:p>
    <w:p w14:paraId="54BDF027" w14:textId="77777777" w:rsidR="00786575" w:rsidRDefault="00786575" w:rsidP="00786575">
      <w:pPr>
        <w:rPr>
          <w:b/>
        </w:rPr>
      </w:pPr>
      <w:r>
        <w:rPr>
          <w:b/>
        </w:rPr>
        <w:t>SSA i NSA (II) rok akademicki 2016/2017</w:t>
      </w:r>
    </w:p>
    <w:p w14:paraId="0C4D049D" w14:textId="77777777" w:rsidR="00786575" w:rsidRDefault="00786575" w:rsidP="00786575">
      <w:pPr>
        <w:rPr>
          <w:b/>
        </w:rPr>
      </w:pPr>
      <w:r>
        <w:rPr>
          <w:b/>
        </w:rPr>
        <w:t xml:space="preserve"> </w:t>
      </w:r>
    </w:p>
    <w:p w14:paraId="01B6C3B8" w14:textId="77777777" w:rsidR="00786575" w:rsidRPr="00902AB7" w:rsidRDefault="00786575" w:rsidP="00786575">
      <w:pPr>
        <w:rPr>
          <w:b/>
        </w:rPr>
      </w:pPr>
      <w:r w:rsidRPr="00756B0F">
        <w:rPr>
          <w:b/>
        </w:rPr>
        <w:t>Personali</w:t>
      </w:r>
      <w:r>
        <w:rPr>
          <w:b/>
        </w:rPr>
        <w:t>styczne podstawy praw człowieka</w:t>
      </w:r>
    </w:p>
    <w:p w14:paraId="5B7F24A9" w14:textId="77777777" w:rsidR="00786575" w:rsidRDefault="00786575" w:rsidP="00786575"/>
    <w:p w14:paraId="37AE57CA" w14:textId="77777777" w:rsidR="00786575" w:rsidRDefault="00786575" w:rsidP="00786575">
      <w:pPr>
        <w:spacing w:line="360" w:lineRule="auto"/>
        <w:ind w:firstLine="709"/>
        <w:jc w:val="both"/>
      </w:pPr>
      <w:r>
        <w:t>Celem konspektu jest zaprezentowanie kilku najważniejszych związków, jakie sytuują się na osi personalizm filozoficzny – kultura prawna. W przypadku obu wymienionych dy</w:t>
      </w:r>
      <w:r>
        <w:t>s</w:t>
      </w:r>
      <w:r>
        <w:t>cyplin naukowych ukazać należy przede wszystkim ich powiązania przedmiotowe, dotyczące z jednej strony określonego nurtu personalizmu, z drugiej zaś − wywiedzionej z owego nurtu koncepcji kultury prawnej. Intencją jest swoiste ,,wypreparowanie”  płaszczyzny styku z obu tych porządków. Płaszczyzna ta, określona mianem ,,personalizacji prawa”, jako nowa dw</w:t>
      </w:r>
      <w:r>
        <w:t>u</w:t>
      </w:r>
      <w:r>
        <w:t>wymiarowa jakość jest konstruktem finalnym analiz badawczych. Świadoma próba ekstrap</w:t>
      </w:r>
      <w:r>
        <w:t>o</w:t>
      </w:r>
      <w:r>
        <w:t>lowania wyodrębnionych zasad personalizmu i ich uwikłanie w materiale normatywnym sł</w:t>
      </w:r>
      <w:r>
        <w:t>u</w:t>
      </w:r>
      <w:r>
        <w:t>ży wyostrzeniu zalet  takiego podejścia. Metodologicznym kluczem bowiem dla prowadz</w:t>
      </w:r>
      <w:r>
        <w:t>o</w:t>
      </w:r>
      <w:r>
        <w:t xml:space="preserve">nych analiz jest interdyscyplinarność wyznaczona zakresem przyjętego tytułu opracowania. </w:t>
      </w:r>
    </w:p>
    <w:p w14:paraId="366ABC8C" w14:textId="77777777" w:rsidR="00786575" w:rsidRPr="004E703D" w:rsidRDefault="00786575" w:rsidP="00786575">
      <w:pPr>
        <w:spacing w:line="360" w:lineRule="auto"/>
        <w:ind w:firstLine="709"/>
        <w:jc w:val="center"/>
        <w:rPr>
          <w:b/>
        </w:rPr>
      </w:pPr>
      <w:r>
        <w:rPr>
          <w:b/>
        </w:rPr>
        <w:t xml:space="preserve">I. Panorama współczesnych nurtów personalistycznych </w:t>
      </w:r>
    </w:p>
    <w:p w14:paraId="37D00A5F" w14:textId="77777777" w:rsidR="00786575" w:rsidRDefault="00786575" w:rsidP="00786575">
      <w:pPr>
        <w:spacing w:line="360" w:lineRule="auto"/>
        <w:ind w:firstLine="709"/>
        <w:jc w:val="both"/>
      </w:pPr>
      <w:r>
        <w:t>Panorama współczesnych nurtów filozoficznych w znacznym uproszczeniu ujawnia dwa niesymetryczne i heterogeniczne spojrzenia na człowieka: klasyczne i nieklasyczne. Do pierwszego zaliczamy personalizm filozoficzny, charakteryzujący się systemowością, jedn</w:t>
      </w:r>
      <w:r>
        <w:t>o</w:t>
      </w:r>
      <w:r>
        <w:t>znacznością i koherencyjnością. Natomiast do drugiego – postmodernizm o atrybutach d</w:t>
      </w:r>
      <w:r>
        <w:t>e</w:t>
      </w:r>
      <w:r>
        <w:t>konstrukcji, ambiwalencji i nihilizmu</w:t>
      </w:r>
      <w:r>
        <w:rPr>
          <w:rStyle w:val="Odwoanieprzypisudolnego"/>
        </w:rPr>
        <w:footnoteReference w:id="1"/>
      </w:r>
      <w:r>
        <w:t>. Obecne przemiany filozoficzno-prawne niosą ze sobą wiele pytań i wyzwań. Jednakże  najważniejsze w tym wszystkim jest niezagubienie człowi</w:t>
      </w:r>
      <w:r>
        <w:t>e</w:t>
      </w:r>
      <w:r>
        <w:t>ka i fenomenu osoby ludzkiej. Z tego też względu zdecydowaliśmy się na usytuowanie n</w:t>
      </w:r>
      <w:r>
        <w:t>a</w:t>
      </w:r>
      <w:r>
        <w:t>szych rozważań w obrębie personalizmu.</w:t>
      </w:r>
    </w:p>
    <w:p w14:paraId="432AAB3D" w14:textId="07626409" w:rsidR="00786575" w:rsidRDefault="00786575" w:rsidP="00786575">
      <w:pPr>
        <w:spacing w:line="360" w:lineRule="auto"/>
        <w:ind w:firstLine="709"/>
        <w:jc w:val="both"/>
      </w:pPr>
      <w:r>
        <w:t>To właśnie Amerykanie stworzyli najbardziej charakterystyczny typ personalizmu, który przypomina raczej humanizm ureligijniony.  Miał on wymiar idealistyczny, pragm</w:t>
      </w:r>
      <w:r>
        <w:t>a</w:t>
      </w:r>
      <w:r>
        <w:t>tyczny i powiązany był z ideami demokracji amerykańskiej. W rozwoju personalizmu amer</w:t>
      </w:r>
      <w:r>
        <w:t>y</w:t>
      </w:r>
      <w:r>
        <w:lastRenderedPageBreak/>
        <w:t xml:space="preserve">kańskiego odegrały znaczną rolę  dwie szkoły. Szkoła Bostońska – o spójnym, całościowym systemie filozoficznym, wypracowanym </w:t>
      </w:r>
      <w:r w:rsidRPr="00585815">
        <w:t>przez  Bordena Parkera Bowne’a</w:t>
      </w:r>
      <w:r>
        <w:t xml:space="preserve"> (1847-1910), uprawiającego personalizm w wymiarze epistemologicznym, metafizycznym i etycznym. Kontynuatorami tej orientacji personalizmu byli m.in.: </w:t>
      </w:r>
      <w:r w:rsidRPr="00585815">
        <w:t>Edgar Sheffield Brightman</w:t>
      </w:r>
      <w:r>
        <w:t xml:space="preserve"> (1884-1953), reprezentujący personalizm teistyczny, </w:t>
      </w:r>
      <w:r w:rsidRPr="00585815">
        <w:t>Albert Cornelius Knudson</w:t>
      </w:r>
      <w:r>
        <w:t xml:space="preserve"> (1873-1954), zajm</w:t>
      </w:r>
      <w:r>
        <w:t>u</w:t>
      </w:r>
      <w:r>
        <w:t xml:space="preserve">jący się teologię personalistyczną, </w:t>
      </w:r>
      <w:r w:rsidRPr="00585815">
        <w:t>Peter Anthony Bertocci (1910-1989), rozwijający psych</w:t>
      </w:r>
      <w:r w:rsidRPr="00585815">
        <w:t>o</w:t>
      </w:r>
      <w:r w:rsidRPr="00585815">
        <w:t>logiczny aspekt personalizmu oraz</w:t>
      </w:r>
      <w:r>
        <w:t xml:space="preserve"> Martin Luter King jr. (1929-1968), będący idealistą pers</w:t>
      </w:r>
      <w:r>
        <w:t>o</w:t>
      </w:r>
      <w:r>
        <w:t xml:space="preserve">nalistycznym. Szkołę Kalifornijską </w:t>
      </w:r>
      <w:r w:rsidRPr="00585815">
        <w:t>założył George Holmes Howinson</w:t>
      </w:r>
      <w:r>
        <w:t xml:space="preserve"> (1834-</w:t>
      </w:r>
      <w:r w:rsidRPr="00585815">
        <w:t>1916) a rozwij</w:t>
      </w:r>
      <w:r w:rsidRPr="00585815">
        <w:t>a</w:t>
      </w:r>
      <w:r w:rsidRPr="00585815">
        <w:t>li: Ralph Tyler Flewelling (1871</w:t>
      </w:r>
      <w:r>
        <w:t>-</w:t>
      </w:r>
      <w:r w:rsidRPr="00585815">
        <w:t>1960)</w:t>
      </w:r>
      <w:r>
        <w:t>,</w:t>
      </w:r>
      <w:r w:rsidRPr="00585815">
        <w:t xml:space="preserve"> personalista demokratyczny, Carol Sue Robb (ur. 1945),  wzbogacająca nurt personalistyczny o elementy etyki społeczno-feministycznej i Wa</w:t>
      </w:r>
      <w:r w:rsidRPr="00585815">
        <w:t>l</w:t>
      </w:r>
      <w:r w:rsidRPr="00585815">
        <w:t>ter George Muelder (1907-2004), określający swoją</w:t>
      </w:r>
      <w:r>
        <w:t xml:space="preserve"> doktrynę mianem ,,personalizmu wspó</w:t>
      </w:r>
      <w:r>
        <w:t>l</w:t>
      </w:r>
      <w:r>
        <w:t>notowego” (obydwoje  kontynuowali tradycje Szkoły Bostońskiej).</w:t>
      </w:r>
    </w:p>
    <w:p w14:paraId="56F81D00" w14:textId="64A47460" w:rsidR="00786575" w:rsidRDefault="00786575" w:rsidP="00786575">
      <w:pPr>
        <w:spacing w:line="360" w:lineRule="auto"/>
        <w:ind w:firstLine="709"/>
        <w:jc w:val="both"/>
      </w:pPr>
      <w:r>
        <w:t xml:space="preserve">Personalizm francuski, wyrosły na gruncie myśli katolickiej o wyraźnym zabarwieniu tomistycznym, wydał wielu wybitnych przedstawicieli. Z punktu widzenia prowadzonych rozważań najbardziej interesują nas: </w:t>
      </w:r>
      <w:r w:rsidRPr="00585815">
        <w:t>Jacques Maritain</w:t>
      </w:r>
      <w:r>
        <w:t xml:space="preserve"> (1882-1973), personalista neotom</w:t>
      </w:r>
      <w:r>
        <w:t>i</w:t>
      </w:r>
      <w:r>
        <w:t>styczny</w:t>
      </w:r>
      <w:r>
        <w:rPr>
          <w:b/>
        </w:rPr>
        <w:t>,</w:t>
      </w:r>
      <w:r w:rsidRPr="00585815">
        <w:rPr>
          <w:b/>
        </w:rPr>
        <w:t xml:space="preserve"> </w:t>
      </w:r>
      <w:r w:rsidRPr="00585815">
        <w:t>i Emmanuel Mounier</w:t>
      </w:r>
      <w:r>
        <w:t xml:space="preserve"> (1905-1950), twórca szkoły chrześcijańskiego personalizmu, prekursor Soboru Watykańskiego II, założyciel czasopisma ,,Esprit”, na łamach którego t</w:t>
      </w:r>
      <w:r>
        <w:t>o</w:t>
      </w:r>
      <w:r>
        <w:t xml:space="preserve">czył się dialog i spór z  kapitalizmem, komunizmem i katolickim integryzmem.  </w:t>
      </w:r>
    </w:p>
    <w:p w14:paraId="077D5AAD" w14:textId="14116F2E" w:rsidR="00786575" w:rsidRDefault="00786575" w:rsidP="00786575">
      <w:pPr>
        <w:spacing w:line="360" w:lineRule="auto"/>
        <w:ind w:firstLine="709"/>
        <w:jc w:val="both"/>
      </w:pPr>
      <w:r>
        <w:t xml:space="preserve">Personalizm niemiecki miał znakomitych przedstawicieli w osobach: </w:t>
      </w:r>
      <w:r w:rsidRPr="00585815">
        <w:t>Karla Jasper</w:t>
      </w:r>
      <w:r>
        <w:t>s</w:t>
      </w:r>
      <w:r w:rsidRPr="00585815">
        <w:t>a</w:t>
      </w:r>
      <w:r>
        <w:t xml:space="preserve"> (1883-1969) – personalisty egzystencjalistycznego, </w:t>
      </w:r>
      <w:r w:rsidRPr="00585815">
        <w:t>Maxa Schelera</w:t>
      </w:r>
      <w:r>
        <w:t xml:space="preserve"> (1874-1928) – personal</w:t>
      </w:r>
      <w:r>
        <w:t>i</w:t>
      </w:r>
      <w:r>
        <w:t xml:space="preserve">sty fenomenologicznego, </w:t>
      </w:r>
      <w:r w:rsidRPr="00585815">
        <w:t xml:space="preserve">Romano Guardiniego </w:t>
      </w:r>
      <w:r>
        <w:t>(1885-1968) – personalisty fenomenologic</w:t>
      </w:r>
      <w:r>
        <w:t>z</w:t>
      </w:r>
      <w:r>
        <w:t xml:space="preserve">nego, </w:t>
      </w:r>
      <w:r w:rsidRPr="00585815">
        <w:t>William</w:t>
      </w:r>
      <w:r>
        <w:t>a</w:t>
      </w:r>
      <w:r w:rsidRPr="00585815">
        <w:t xml:space="preserve"> Sterna</w:t>
      </w:r>
      <w:r>
        <w:t xml:space="preserve"> (1871-1938) − personalisty psychologicznego, nawiasem mówiąc: profesora Uniwersytetu we Wrocławiu i w Hamburgu, który wprowadził pojęcie osoby jako wielorakiej jedni [</w:t>
      </w:r>
      <w:r>
        <w:rPr>
          <w:i/>
        </w:rPr>
        <w:t>unitas multiplex</w:t>
      </w:r>
      <w:r>
        <w:t>].</w:t>
      </w:r>
    </w:p>
    <w:p w14:paraId="6F0C51DF" w14:textId="5B65BC7A" w:rsidR="00786575" w:rsidRDefault="00786575" w:rsidP="00786575">
      <w:pPr>
        <w:spacing w:line="360" w:lineRule="auto"/>
        <w:ind w:firstLine="709"/>
        <w:jc w:val="both"/>
      </w:pPr>
      <w:r>
        <w:t>Nie będzie chyba nadużyciem takie oto twierdzenie: personalizm w tradycji szeroko pojętej kultury polskiej występuje prawie od zawsze, przybierając najrozmaitsze postaci. P</w:t>
      </w:r>
      <w:r>
        <w:t>o</w:t>
      </w:r>
      <w:r>
        <w:t>cząwszy od postawy życiowej, intelektualnej, poprzez stanowiska i kierunki filozoficzne, aż po rewolucję personalistyczną i wspólnotową kontynuowaną w polityce</w:t>
      </w:r>
      <w:r>
        <w:rPr>
          <w:rStyle w:val="Odwoanieprzypisudolnego"/>
        </w:rPr>
        <w:footnoteReference w:id="2"/>
      </w:r>
      <w:r>
        <w:t>. Jego tworzywem jest osobliwa czasoprzestrzeń historyczna sprzyjająca polonocentycznej refleksji nad godn</w:t>
      </w:r>
      <w:r>
        <w:t>o</w:t>
      </w:r>
      <w:r>
        <w:t>ścią człowieka, jej wolnością, upodmiotowieniem społeczeństwa, wyrażającym się w dążeniu do realizacji idei społeczeństwa obywatelskiego. Jednak by nie narazić się na zarzut zuchwa</w:t>
      </w:r>
      <w:r>
        <w:t>l</w:t>
      </w:r>
      <w:r>
        <w:t>stwa kształtowania wyobrażeń o polskości, dorzucając do już i tak obszernego katalogu nar</w:t>
      </w:r>
      <w:r>
        <w:t>o</w:t>
      </w:r>
      <w:r>
        <w:t>dowych cnót/przywar koleją − obok romantyzmu i mesjanizmu – personalizm, odwołajmy się do autorytetów. Według Cz. Bartnika, twórcy homogenicznego systemu personalistycznego, ,,sama świadomość narodowa właśnie jest inspirowana personalizmem, który łączy się przy tym z socjalnością, myślą społeczną, posłanniczością, zmysłem historycznym, moralizmem, prakseologizmem, mistyka polską i prymatem wyższych wartości”. Dla T. Mazowieckiego natomiast, kreatora personalistycznej prakseologii społeczno-politycznej (od 1958 r. - data założenia miesięcznika ,,Więź”)  i tzw. środowiska więziowego osoba ludzka i społeczeństwo pojmowane jako podmiot historii były osią myślenia personalistycznego wywodzącego się z  filozofii zaangażowania E. Mouniera i J. Maritaina.</w:t>
      </w:r>
    </w:p>
    <w:p w14:paraId="46ADCC9A" w14:textId="6C4C6B59" w:rsidR="00786575" w:rsidRDefault="00786575" w:rsidP="00786575">
      <w:pPr>
        <w:spacing w:line="360" w:lineRule="auto"/>
        <w:ind w:firstLine="709"/>
        <w:jc w:val="both"/>
      </w:pPr>
      <w:r>
        <w:t>Warto zatem dokonać krótkiego przeglądu głównych nurtów personalizmu polskiego</w:t>
      </w:r>
      <w:r>
        <w:rPr>
          <w:rStyle w:val="Odwoanieprzypisudolnego"/>
        </w:rPr>
        <w:footnoteReference w:id="3"/>
      </w:r>
      <w:r>
        <w:t xml:space="preserve">. Personalizm neotomistyczny reprezentują na gruncie polskim m.in.: </w:t>
      </w:r>
      <w:r w:rsidRPr="00585815">
        <w:t>Mieczysław Gogacz</w:t>
      </w:r>
      <w:r>
        <w:t xml:space="preserve"> (ur. 1926),  Mieczysław </w:t>
      </w:r>
      <w:r w:rsidRPr="00585815">
        <w:t xml:space="preserve">Albert Krąpiec </w:t>
      </w:r>
      <w:r>
        <w:t xml:space="preserve">(ur.1920), </w:t>
      </w:r>
      <w:r w:rsidRPr="00585815">
        <w:t xml:space="preserve">Stefan Swieżawski </w:t>
      </w:r>
      <w:r>
        <w:t>(1907-2004).  Do personal</w:t>
      </w:r>
      <w:r>
        <w:t>i</w:t>
      </w:r>
      <w:r>
        <w:t xml:space="preserve">stów fenomenologiczno-antropologicznych należą: </w:t>
      </w:r>
      <w:r w:rsidRPr="00585815">
        <w:t xml:space="preserve">Roman Ingarden </w:t>
      </w:r>
      <w:r>
        <w:t xml:space="preserve">(1893-1970), </w:t>
      </w:r>
      <w:r w:rsidRPr="00585815">
        <w:t>Józef T</w:t>
      </w:r>
      <w:r w:rsidRPr="00585815">
        <w:t>i</w:t>
      </w:r>
      <w:r w:rsidRPr="00585815">
        <w:t>schner</w:t>
      </w:r>
      <w:r>
        <w:t xml:space="preserve"> (1931-2000), Edyta Stein (1891-19420). Personalistami egzystencjalnymi, czyli sp</w:t>
      </w:r>
      <w:r>
        <w:t>o</w:t>
      </w:r>
      <w:r>
        <w:t xml:space="preserve">łeczno-etycznymi są autorzy skupieni wokół ,,Więzi”, ,,Znaku” i ,,Tygodnika Powszechnego” m. in.: </w:t>
      </w:r>
      <w:r w:rsidRPr="00585815">
        <w:t>Jerzy Turowicz</w:t>
      </w:r>
      <w:r>
        <w:t xml:space="preserve"> (1912-1999), </w:t>
      </w:r>
      <w:r w:rsidRPr="00585815">
        <w:t>Tadeusz Mazowiecki</w:t>
      </w:r>
      <w:r>
        <w:t xml:space="preserve"> (ur. 1927), </w:t>
      </w:r>
      <w:r w:rsidRPr="00585815">
        <w:t>Józefa Hennelowa</w:t>
      </w:r>
      <w:r>
        <w:t xml:space="preserve"> (ur. 1925), </w:t>
      </w:r>
      <w:r w:rsidRPr="00585815">
        <w:t>Stefan Kisielewski</w:t>
      </w:r>
      <w:r>
        <w:t xml:space="preserve"> (1911-1991</w:t>
      </w:r>
      <w:r>
        <w:rPr>
          <w:b/>
        </w:rPr>
        <w:t>)</w:t>
      </w:r>
      <w:r>
        <w:t>,</w:t>
      </w:r>
      <w:r w:rsidRPr="00585815">
        <w:rPr>
          <w:b/>
        </w:rPr>
        <w:t xml:space="preserve"> </w:t>
      </w:r>
      <w:r w:rsidRPr="00585815">
        <w:t>Adam</w:t>
      </w:r>
      <w:r w:rsidRPr="00F51E99">
        <w:rPr>
          <w:b/>
        </w:rPr>
        <w:t xml:space="preserve"> </w:t>
      </w:r>
      <w:r w:rsidRPr="00585815">
        <w:t>Boniecki</w:t>
      </w:r>
      <w:r>
        <w:t xml:space="preserve"> (ur. 1934). Za personalistów int</w:t>
      </w:r>
      <w:r>
        <w:t>e</w:t>
      </w:r>
      <w:r>
        <w:t xml:space="preserve">gralnych uważa się </w:t>
      </w:r>
      <w:r w:rsidRPr="00585815">
        <w:t>Wincentego Granata</w:t>
      </w:r>
      <w:r>
        <w:rPr>
          <w:b/>
        </w:rPr>
        <w:t xml:space="preserve"> </w:t>
      </w:r>
      <w:r>
        <w:t xml:space="preserve">(1900-1979) i </w:t>
      </w:r>
      <w:r w:rsidRPr="00585815">
        <w:t>Stanisława Kowalczyka</w:t>
      </w:r>
      <w:r>
        <w:rPr>
          <w:b/>
        </w:rPr>
        <w:t xml:space="preserve"> </w:t>
      </w:r>
      <w:r>
        <w:t xml:space="preserve">(ur. 1932). Do personalistów uniwersalistycznych zaliczamy: </w:t>
      </w:r>
      <w:r w:rsidRPr="00585815">
        <w:t>Karola Wojtyłę</w:t>
      </w:r>
      <w:r>
        <w:t xml:space="preserve"> (1920-2004), późniejszego papieża (Jana Pawła II) i </w:t>
      </w:r>
      <w:r w:rsidRPr="00585815">
        <w:t>Czesława Stanisława Bartnika</w:t>
      </w:r>
      <w:r>
        <w:t xml:space="preserve"> (ur. 1929). Personalizm krytyczny uprawia historyk literatury Tymon Terlecki (1905-1988).  ,,W Polsce personalistyczna szkoła lubelska skupiona wokół prof. Czesława Stanisława Bartnika rozwija na obecnym etapie pe</w:t>
      </w:r>
      <w:r>
        <w:t>r</w:t>
      </w:r>
      <w:r>
        <w:t>sonalizm realistyczny i uniwersalistyczny, godząc tym samym dwa ujęcia osoby: obiektyw</w:t>
      </w:r>
      <w:r>
        <w:t>i</w:t>
      </w:r>
      <w:r>
        <w:t>styczne i subiektywistyczne”. Do twórczych kontynuatorów  personalizmu uniwersalistyczno-realistycznego Bartnika należą m.in.: Bogumił Gacka, Krzysztof Guzowski, Mirosław K</w:t>
      </w:r>
      <w:r>
        <w:t>o</w:t>
      </w:r>
      <w:r>
        <w:t>walczyk, Krzysztof Góźdź.</w:t>
      </w:r>
    </w:p>
    <w:p w14:paraId="148EFBB3" w14:textId="55FB5DB9" w:rsidR="00786575" w:rsidRDefault="00786575" w:rsidP="00786575">
      <w:pPr>
        <w:spacing w:line="360" w:lineRule="auto"/>
        <w:ind w:firstLine="709"/>
        <w:jc w:val="both"/>
      </w:pPr>
      <w:r>
        <w:t xml:space="preserve">Odwołując się do słów Mouniera, wypada zaznaczyć, iż personalizm nie musi być etykietowany: ,,[…] można być chrześcijaninem i personalistą, racjonalistą i personalistą, komunistą;  a czemu by nie? – i personalistą, jeśli jest się komunistą w sposób nie stojący w sprzeczności z </w:t>
      </w:r>
      <w:r w:rsidR="008507F6">
        <w:t>podstawowymi wartościami [</w:t>
      </w:r>
      <w:r>
        <w:t>personologii – A. Sz</w:t>
      </w:r>
      <w:r w:rsidR="00DF2FC1">
        <w:t>.-B</w:t>
      </w:r>
      <w:r>
        <w:t>.]”. Personalizm można uprawiać zarówno w obrębie różnych nurtów filozoficznych, np. neotomizmu, egzystencjal</w:t>
      </w:r>
      <w:r>
        <w:t>i</w:t>
      </w:r>
      <w:r>
        <w:t>zmu, fenomenologii, marksizmu, jak i − dyscyplin naukowych, np. prawa, historii, psychol</w:t>
      </w:r>
      <w:r>
        <w:t>o</w:t>
      </w:r>
      <w:r>
        <w:t>gii, socjologii, pedagogiki, teologii, literaturoznawstwa. Można również przyporządkować badania nad personalizmem do działu poszczególnych dyscyplin, np. w obszarze filozofii można się zająć personalizmem etycznym, aksjologicznym, epistemologicznym, ontologic</w:t>
      </w:r>
      <w:r>
        <w:t>z</w:t>
      </w:r>
      <w:r>
        <w:t>nym; w aspekcie socjologicznym czy politologicznym można mówić o personalizmie libera</w:t>
      </w:r>
      <w:r>
        <w:t>l</w:t>
      </w:r>
      <w:r>
        <w:t>nym, konserwatywnym, chrześcijańsko-konserwatywnym, lewicowym bądź też prawicowym. Na personalizm można wreszcie spojrzeć przez pryzmat metody badawczej, postawy życi</w:t>
      </w:r>
      <w:r>
        <w:t>o</w:t>
      </w:r>
      <w:r>
        <w:t>wej, intelektualnej, całego systemu filozoficznego bądź jego fragmentu, prądu kulturowego, języ</w:t>
      </w:r>
      <w:r w:rsidR="003B126E">
        <w:t xml:space="preserve">ka komunikacji, hermeneutyki, </w:t>
      </w:r>
      <w:r>
        <w:t>uznając szczególną pozycję, rolę i wartość osoby lub st</w:t>
      </w:r>
      <w:r>
        <w:t>a</w:t>
      </w:r>
      <w:r>
        <w:t>wiając osobę w centrum działan</w:t>
      </w:r>
      <w:r w:rsidR="003B126E">
        <w:t>ia i zainteresowań poznawczych, czyniąc osobę</w:t>
      </w:r>
      <w:r>
        <w:t xml:space="preserve"> naczelną k</w:t>
      </w:r>
      <w:r>
        <w:t>a</w:t>
      </w:r>
      <w:r>
        <w:t>tegorią</w:t>
      </w:r>
      <w:r w:rsidR="003B126E">
        <w:t xml:space="preserve"> filozoficzno-prawną</w:t>
      </w:r>
      <w:r>
        <w:t xml:space="preserve">. </w:t>
      </w:r>
    </w:p>
    <w:p w14:paraId="4C5ACE01" w14:textId="7FBA80B5" w:rsidR="00786575" w:rsidRDefault="00325D3B" w:rsidP="00786575">
      <w:pPr>
        <w:spacing w:line="360" w:lineRule="auto"/>
        <w:ind w:firstLine="709"/>
        <w:jc w:val="both"/>
      </w:pPr>
      <w:r>
        <w:t>Omawiana</w:t>
      </w:r>
      <w:r w:rsidR="00786575">
        <w:t xml:space="preserve"> postać personalizmu ma charakter interdyscyplinarny i zarazem eklektyc</w:t>
      </w:r>
      <w:r w:rsidR="00786575">
        <w:t>z</w:t>
      </w:r>
      <w:r>
        <w:t>ny. Wprawdzie czerpie</w:t>
      </w:r>
      <w:r w:rsidR="00786575">
        <w:t xml:space="preserve"> z doświadczeń Maritaina i Mouniera, Bartnika, Krąpca i Woj</w:t>
      </w:r>
      <w:r>
        <w:t>tyły, ale nie odnosi</w:t>
      </w:r>
      <w:r w:rsidR="00786575">
        <w:t xml:space="preserve"> się </w:t>
      </w:r>
      <w:r>
        <w:t xml:space="preserve"> do kontekstu</w:t>
      </w:r>
      <w:r w:rsidR="00786575">
        <w:t xml:space="preserve"> światopoglądow</w:t>
      </w:r>
      <w:r>
        <w:t>o-religijnym personalizmu</w:t>
      </w:r>
      <w:r w:rsidR="00786575">
        <w:t>.</w:t>
      </w:r>
    </w:p>
    <w:p w14:paraId="0D3D8E69" w14:textId="77777777" w:rsidR="00786575" w:rsidRDefault="00786575" w:rsidP="00786575">
      <w:pPr>
        <w:spacing w:line="360" w:lineRule="auto"/>
        <w:jc w:val="both"/>
      </w:pPr>
    </w:p>
    <w:p w14:paraId="0D8D016D" w14:textId="151FFF0A" w:rsidR="00786575" w:rsidRPr="00913C13" w:rsidRDefault="00786575" w:rsidP="00786575">
      <w:pPr>
        <w:spacing w:line="360" w:lineRule="auto"/>
        <w:ind w:firstLine="709"/>
        <w:jc w:val="both"/>
        <w:rPr>
          <w:b/>
        </w:rPr>
      </w:pPr>
      <w:r>
        <w:rPr>
          <w:b/>
        </w:rPr>
        <w:t xml:space="preserve">            II. Eksplikacja </w:t>
      </w:r>
      <w:r w:rsidR="00355F85">
        <w:rPr>
          <w:b/>
        </w:rPr>
        <w:t>definicji pojęcia ,,personalizm interdyscyplinarny</w:t>
      </w:r>
      <w:r>
        <w:rPr>
          <w:b/>
        </w:rPr>
        <w:t>”</w:t>
      </w:r>
    </w:p>
    <w:p w14:paraId="757C7DAC" w14:textId="77777777" w:rsidR="00786575" w:rsidRDefault="00786575" w:rsidP="00786575">
      <w:pPr>
        <w:spacing w:line="360" w:lineRule="auto"/>
        <w:ind w:firstLine="709"/>
        <w:jc w:val="both"/>
      </w:pPr>
      <w:r>
        <w:t>Rozpocznijmy od zdefiniowania pojęcia: czym jest ,,personalizm interdyscyplinarny”?</w:t>
      </w:r>
    </w:p>
    <w:p w14:paraId="43EE2FD6" w14:textId="77777777" w:rsidR="00786575" w:rsidRDefault="00786575" w:rsidP="00786575">
      <w:pPr>
        <w:spacing w:line="360" w:lineRule="auto"/>
        <w:jc w:val="both"/>
      </w:pPr>
      <w:r>
        <w:t>Personalizm wpisując się w kartezjańską tradycję filozofii podmiotu −  w przeciwieństwie do realistycznej, arystotelesowsko-tomistycznej filozofii przedmiotu</w:t>
      </w:r>
      <w:r>
        <w:rPr>
          <w:rStyle w:val="Odwoanieprzypisudolnego"/>
        </w:rPr>
        <w:footnoteReference w:id="4"/>
      </w:r>
      <w:r>
        <w:t xml:space="preserve"> − nawiązuje przez to do renesansowej doktryny humanizmu.  Personalizm zatem nie odnosi się do świata rzeczy, lecz do świata relacji międzyosobowych. Uwypukla on jedyny w swoim rodzaju, nieredukowalny walor osoby ludzkiej, wyrażający się prymarnością wobec społeczności i wspólnot, które p</w:t>
      </w:r>
      <w:r>
        <w:t>o</w:t>
      </w:r>
      <w:r>
        <w:t>winny realizować jako naczelny ideał: dobro osoby, rozwijać jej podmiotowość przez posz</w:t>
      </w:r>
      <w:r>
        <w:t>a</w:t>
      </w:r>
      <w:r>
        <w:t>nowanie wolności i godności człowieka. Osobę ludzką należy traktować zawsze jako podmiot i cel, a nie jako przedmiot, czy środek do celu</w:t>
      </w:r>
      <w:r>
        <w:rPr>
          <w:rStyle w:val="Odwoanieprzypisudolnego"/>
        </w:rPr>
        <w:footnoteReference w:id="5"/>
      </w:r>
      <w:r>
        <w:t xml:space="preserve">. </w:t>
      </w:r>
    </w:p>
    <w:p w14:paraId="23AE046D" w14:textId="44470A80" w:rsidR="00786575" w:rsidRDefault="00786575" w:rsidP="00786575">
      <w:pPr>
        <w:spacing w:line="360" w:lineRule="auto"/>
        <w:ind w:firstLine="709"/>
        <w:jc w:val="both"/>
      </w:pPr>
      <w:r>
        <w:t>Zaletą zbudowanej definicji jest możliwość wywiedzenia z niej pewnych pojęć, które będą podlegały uszczegółowieniu, wprowadzając nas coraz głębiej w istotę personalizmu. Jednym z tych pojęć jest ,,humanizm”</w:t>
      </w:r>
      <w:r>
        <w:rPr>
          <w:rStyle w:val="Odwoanieprzypisudolnego"/>
        </w:rPr>
        <w:footnoteReference w:id="6"/>
      </w:r>
      <w:r>
        <w:t>, który tak oto został zdefiniowany przez S. Kowalcz</w:t>
      </w:r>
      <w:r>
        <w:t>y</w:t>
      </w:r>
      <w:r w:rsidR="00F65AE8">
        <w:t>ka: ,,</w:t>
      </w:r>
      <w:r>
        <w:t>pogląd lub postawa afirmująca godność człowieka, traktowanego jako ośrodek i szczyt wartości doczesnych oraz twórczy podmiot autonomicznych działań wyposażony w przysł</w:t>
      </w:r>
      <w:r>
        <w:t>u</w:t>
      </w:r>
      <w:r>
        <w:t xml:space="preserve">gujące osobie ludzkiej uprawnienia indywidualne i społeczne”. Zderzenie treści tych dwóch definicji pokazuje, iż oba te terminy są bliskoznaczne. </w:t>
      </w:r>
    </w:p>
    <w:p w14:paraId="65ECA1B6" w14:textId="39F09FEC" w:rsidR="00786575" w:rsidRDefault="00786575" w:rsidP="00786575">
      <w:pPr>
        <w:spacing w:line="360" w:lineRule="auto"/>
        <w:ind w:firstLine="709"/>
        <w:jc w:val="both"/>
      </w:pPr>
      <w:r>
        <w:t xml:space="preserve">Kolejnym elementem wspomnianej definicji jest wyraz </w:t>
      </w:r>
      <w:r w:rsidRPr="00E95B4E">
        <w:rPr>
          <w:i/>
        </w:rPr>
        <w:t>personalizm</w:t>
      </w:r>
      <w:r>
        <w:t>. Z chwilą poj</w:t>
      </w:r>
      <w:r>
        <w:t>a</w:t>
      </w:r>
      <w:r>
        <w:t xml:space="preserve">wienia się w 1737 r., termin </w:t>
      </w:r>
      <w:r w:rsidRPr="00E95B4E">
        <w:rPr>
          <w:i/>
        </w:rPr>
        <w:t>le personnalisme</w:t>
      </w:r>
      <w:r>
        <w:t xml:space="preserve"> oznaczał egoizm, egocentryzm, indywidualizm. Po raz pierwszy w pozytywnym znaczeniu pojawił się u </w:t>
      </w:r>
      <w:r w:rsidRPr="00823939">
        <w:t>Friedricha</w:t>
      </w:r>
      <w:r w:rsidRPr="005472BD">
        <w:rPr>
          <w:b/>
        </w:rPr>
        <w:t xml:space="preserve"> </w:t>
      </w:r>
      <w:r w:rsidRPr="00823939">
        <w:t>Daniela Schleiermachera</w:t>
      </w:r>
      <w:r>
        <w:t xml:space="preserve"> (1768-1834) w 1799 r. w jego </w:t>
      </w:r>
      <w:r>
        <w:rPr>
          <w:i/>
        </w:rPr>
        <w:t>Dysputach.</w:t>
      </w:r>
      <w:r>
        <w:t xml:space="preserve"> Następnie termin ten zastosował w 1860 r.  poeta amerykański </w:t>
      </w:r>
      <w:r w:rsidRPr="00823939">
        <w:t>Walt Whitman</w:t>
      </w:r>
      <w:r>
        <w:t xml:space="preserve">  (1819-1892); po nim, w1868 r., pedagog amerykański </w:t>
      </w:r>
      <w:r w:rsidRPr="00823939">
        <w:t>Amos Bronson Alcott</w:t>
      </w:r>
      <w:r>
        <w:t xml:space="preserve"> (1799-1888); a filozof francuski </w:t>
      </w:r>
      <w:r w:rsidRPr="00823939">
        <w:t>Charles Renouvier</w:t>
      </w:r>
      <w:r>
        <w:t xml:space="preserve"> (1818-1903) opublikował w 1903 r. pracę zatytułowaną </w:t>
      </w:r>
      <w:r>
        <w:rPr>
          <w:i/>
        </w:rPr>
        <w:t>Le Personnalisme</w:t>
      </w:r>
      <w:r>
        <w:t xml:space="preserve">. W Polsce termin ten zastosował po raz pierwszy Wincenty Lutosławski w roku 1887.  </w:t>
      </w:r>
    </w:p>
    <w:p w14:paraId="4204B456" w14:textId="41C8FA58" w:rsidR="00786575" w:rsidRDefault="00786575" w:rsidP="00786575">
      <w:pPr>
        <w:spacing w:line="360" w:lineRule="auto"/>
        <w:ind w:firstLine="709"/>
        <w:jc w:val="both"/>
      </w:pPr>
      <w:r>
        <w:t>Co do etymologii samego słowa, to – jak zauważa Cz. Bartnik − już w kulturze gre</w:t>
      </w:r>
      <w:r>
        <w:t>c</w:t>
      </w:r>
      <w:r>
        <w:t xml:space="preserve">kiej występuje termin </w:t>
      </w:r>
      <w:r w:rsidRPr="00AE584C">
        <w:rPr>
          <w:i/>
        </w:rPr>
        <w:t>prosopon</w:t>
      </w:r>
      <w:r>
        <w:t xml:space="preserve"> (tłumaczony jako: lica, twarz, wejrzenie, maska noszona przez aktorów w teatrze),  będący odpowiednikiem łacińskiego terminu </w:t>
      </w:r>
      <w:r w:rsidRPr="00A27405">
        <w:rPr>
          <w:i/>
        </w:rPr>
        <w:t>persona</w:t>
      </w:r>
      <w:r>
        <w:t>, który już za czasów Cycerona oznaczał charakter i rolę człowieka w życiu publicznym.  Zrównanie des</w:t>
      </w:r>
      <w:r>
        <w:t>y</w:t>
      </w:r>
      <w:r>
        <w:t>gnatów obu terminów pod względem semantycznym przypisuje się Polibiuszowi z Megalop</w:t>
      </w:r>
      <w:r>
        <w:t>o</w:t>
      </w:r>
      <w:r>
        <w:t xml:space="preserve">lis (200-118 p.n.e.).  W końcu drugiego wieku naszej ery termin </w:t>
      </w:r>
      <w:r w:rsidRPr="00AE584C">
        <w:rPr>
          <w:i/>
        </w:rPr>
        <w:t>persona</w:t>
      </w:r>
      <w:r>
        <w:t xml:space="preserve"> wszedł szeroko do prawodawstwa i oznaczał podmiot prawa, godność człowieka i obywatela.</w:t>
      </w:r>
    </w:p>
    <w:p w14:paraId="49870C53" w14:textId="1E4FB39D" w:rsidR="00786575" w:rsidRDefault="00786575" w:rsidP="00786575">
      <w:pPr>
        <w:spacing w:line="360" w:lineRule="auto"/>
        <w:ind w:firstLine="709"/>
        <w:jc w:val="both"/>
      </w:pPr>
      <w:r>
        <w:t>Przejdźmy do kolejnej cechy konstytuującej utworzoną definicję personalizmu, a mi</w:t>
      </w:r>
      <w:r>
        <w:t>a</w:t>
      </w:r>
      <w:r>
        <w:t>nowicie do podmiotowości osoby. Jeśliby spojrzeć na współczesną historię filozofii europe</w:t>
      </w:r>
      <w:r>
        <w:t>j</w:t>
      </w:r>
      <w:r>
        <w:t>skiej przez pryzmat podmiotowości osoby, to wydaje się, że kwestię tę najpełniej wyekspl</w:t>
      </w:r>
      <w:r>
        <w:t>i</w:t>
      </w:r>
      <w:r>
        <w:t xml:space="preserve">kował K. Wojtyła w fundamentalnym dziele </w:t>
      </w:r>
      <w:r>
        <w:rPr>
          <w:i/>
        </w:rPr>
        <w:t xml:space="preserve">Osoba i </w:t>
      </w:r>
      <w:r>
        <w:t>czyn, posługując się hermeneutyką pe</w:t>
      </w:r>
      <w:r>
        <w:t>r</w:t>
      </w:r>
      <w:r>
        <w:t>sonalistyczną, zwłaszcza w interpretacji treści społecznych i etyczno-prawnych</w:t>
      </w:r>
      <w:r>
        <w:rPr>
          <w:i/>
        </w:rPr>
        <w:t>.</w:t>
      </w:r>
      <w:r>
        <w:t xml:space="preserve">. Punktem wyjścia koncepcji Wojtyłowej jest osoba utożsamiana z substancją </w:t>
      </w:r>
      <w:r>
        <w:rPr>
          <w:i/>
        </w:rPr>
        <w:t>(</w:t>
      </w:r>
      <w:r w:rsidRPr="00257330">
        <w:rPr>
          <w:i/>
        </w:rPr>
        <w:t>supossitum</w:t>
      </w:r>
      <w:r>
        <w:t>) i zarazem relacją (</w:t>
      </w:r>
      <w:r w:rsidRPr="00257330">
        <w:rPr>
          <w:i/>
        </w:rPr>
        <w:t>relatio</w:t>
      </w:r>
      <w:r>
        <w:rPr>
          <w:i/>
        </w:rPr>
        <w:t>)</w:t>
      </w:r>
      <w:r>
        <w:t xml:space="preserve"> do innych osób, do zorganizowanych wspólnot, swoiste sprzężenie zwrotne: personalizacja społeczności − socjalizacja osoby.  Według Autora, człowiek jako byt metaf</w:t>
      </w:r>
      <w:r>
        <w:t>i</w:t>
      </w:r>
      <w:r>
        <w:t>zyczny, jako niepowtarzalne ,,ja” jest podmiotem istnienia i działania. Owa podmiotowość zawsze jest dana w doświadczeniu ,,czegoś” lub ,,kogoś”. Dychotomiczną podmiotowość konstytuuje: czyn podmiotu działającego (element obiektywizacji człowieka) i świadomość podmiotu przeżywającego, doznającego swoje czyny (element subiektywizacji człowieka), albowiem, jak pisze K. Wojtyła, człowiek staje się osobą poprzez własne czyny, doznania i przeżycia.</w:t>
      </w:r>
    </w:p>
    <w:p w14:paraId="5CF0B81F" w14:textId="0760A2A3" w:rsidR="00786575" w:rsidRDefault="00786575" w:rsidP="00786575">
      <w:pPr>
        <w:spacing w:line="360" w:lineRule="auto"/>
        <w:ind w:firstLine="709"/>
        <w:jc w:val="both"/>
      </w:pPr>
      <w:r>
        <w:t>Jednym z aspektów bytu osobowego człowieka jest podmiotowość prawna. Jej ko</w:t>
      </w:r>
      <w:r>
        <w:t>n</w:t>
      </w:r>
      <w:r>
        <w:t>strukcję eksplikuje na gruncie personalizmu neotomistycznego M. A. Krąpiec. Podkreśla, że tylko człowiek jest podmiotem relacji prawnej. Posiada on uprawnienie do żądania od drugi</w:t>
      </w:r>
      <w:r>
        <w:t>e</w:t>
      </w:r>
      <w:r>
        <w:t>go człowieka (ludzi) jakiegoś działania lub zaniechania działania, które umożliwia lub uni</w:t>
      </w:r>
      <w:r>
        <w:t>e</w:t>
      </w:r>
      <w:r>
        <w:t>możliwia realizację dobra wspólnego pojętego podmiotowo. Dobrem wspólnym wszystkich ludzi może być jedynie dobro osobowe każdego człowieka, któremu przysługują specjalne prawa (zawarte w naturze, a odczytane przez rozum) streszczające się w jednym – prawie do rozwoju życia osobowego przez prawdę, dobro i piękno</w:t>
      </w:r>
      <w:r>
        <w:rPr>
          <w:rStyle w:val="Odwoanieprzypisudolnego"/>
        </w:rPr>
        <w:footnoteReference w:id="7"/>
      </w:r>
      <w:r>
        <w:t xml:space="preserve"> ,,Intelekt bowiem − jak pisze P. J</w:t>
      </w:r>
      <w:r>
        <w:t>a</w:t>
      </w:r>
      <w:r>
        <w:t>roszyński − nastawiony jest na poznanie rzeczywistości, czyli na prawdę, wola – na miłow</w:t>
      </w:r>
      <w:r>
        <w:t>a</w:t>
      </w:r>
      <w:r>
        <w:t>nie dobra, obie zaś władze jako zjednoczone – na piękno”.</w:t>
      </w:r>
    </w:p>
    <w:p w14:paraId="19D473A7" w14:textId="77777777" w:rsidR="00786575" w:rsidRPr="00682271" w:rsidRDefault="00786575" w:rsidP="00786575">
      <w:pPr>
        <w:spacing w:line="360" w:lineRule="auto"/>
        <w:ind w:firstLine="709"/>
        <w:jc w:val="both"/>
        <w:rPr>
          <w:i/>
        </w:rPr>
      </w:pPr>
      <w:r>
        <w:t xml:space="preserve"> Osadzenie ,,podmiotowości” człowieka w personalizmie pozwala otrzymany par</w:t>
      </w:r>
      <w:r>
        <w:t>a</w:t>
      </w:r>
      <w:r>
        <w:t>dygmat ekstrapolować  na  płaszczyznę  porządku  jurydycznego  i  to  publicznoprawnego. W wyniku takiego zabiegu przyjąć należy dwuwarstwową definicję podmiotowości prawnej człowieka. Warstwa ontyczna (personalistyczne: ,,być-istnieć”) oznacza zdolność osoby do przyjęcia statusu podmiotu prawa. Warstwa deontyczna (personalistyczne: ,,działanie-czyn”) oznacza zdolność osoby do wywoływania skutków w sferze prawa poprzez własne działanie. Te dwie odpowiadające sobie strony podmiotowości prawnej osoby są umocowane w d</w:t>
      </w:r>
      <w:r>
        <w:t>o</w:t>
      </w:r>
      <w:r>
        <w:t>świadczeniu (personalistyczne: ,,czegoś-kogoś”) interpersonalistycznych relacji zdetermin</w:t>
      </w:r>
      <w:r>
        <w:t>o</w:t>
      </w:r>
      <w:r>
        <w:t xml:space="preserve">wanych normami prawnymi regulującymi status osoby jako członka społeczności polskiej, europejskiej, międzynarodowej. </w:t>
      </w:r>
    </w:p>
    <w:p w14:paraId="066580D9" w14:textId="562D570C" w:rsidR="00786575" w:rsidRDefault="00786575" w:rsidP="00786575">
      <w:pPr>
        <w:spacing w:line="360" w:lineRule="auto"/>
        <w:ind w:firstLine="709"/>
        <w:jc w:val="both"/>
      </w:pPr>
      <w:r>
        <w:t xml:space="preserve">Kolejną kategorią semantyczną domagającą się wyjaśnienia jest pojęcie ,,wolności” </w:t>
      </w:r>
      <w:r w:rsidRPr="00257330">
        <w:rPr>
          <w:i/>
        </w:rPr>
        <w:t>(eleutheria</w:t>
      </w:r>
      <w:r>
        <w:rPr>
          <w:i/>
        </w:rPr>
        <w:t xml:space="preserve">, </w:t>
      </w:r>
      <w:r w:rsidRPr="00257330">
        <w:rPr>
          <w:i/>
        </w:rPr>
        <w:t>libertas</w:t>
      </w:r>
      <w:r>
        <w:t>)</w:t>
      </w:r>
      <w:r>
        <w:rPr>
          <w:rStyle w:val="Odwoanieprzypisudolnego"/>
        </w:rPr>
        <w:footnoteReference w:id="8"/>
      </w:r>
      <w:r>
        <w:t>. Wyróżniamy trzy podstawowe znaczenia ,,wolności”:</w:t>
      </w:r>
    </w:p>
    <w:p w14:paraId="7F0CBAA1" w14:textId="77777777" w:rsidR="00786575" w:rsidRDefault="00786575" w:rsidP="00786575">
      <w:pPr>
        <w:spacing w:line="360" w:lineRule="auto"/>
        <w:ind w:firstLine="709"/>
        <w:jc w:val="both"/>
      </w:pPr>
      <w:r>
        <w:t xml:space="preserve">1) Wolność  wyboru  (pojmowana  w  sensie  ontycznym) uwarunkowana jest zarówno </w:t>
      </w:r>
    </w:p>
    <w:p w14:paraId="26609C5D" w14:textId="77777777" w:rsidR="00786575" w:rsidRDefault="00786575" w:rsidP="00786575">
      <w:pPr>
        <w:spacing w:line="360" w:lineRule="auto"/>
        <w:ind w:firstLine="709"/>
        <w:jc w:val="both"/>
      </w:pPr>
      <w:r>
        <w:t xml:space="preserve">     aksjologią, jak i prakseologią  człowieka. Aspekt aksjologiczny, to wolność wyboru </w:t>
      </w:r>
    </w:p>
    <w:p w14:paraId="635B6896" w14:textId="77777777" w:rsidR="00786575" w:rsidRDefault="00786575" w:rsidP="00786575">
      <w:pPr>
        <w:spacing w:line="360" w:lineRule="auto"/>
        <w:ind w:firstLine="709"/>
        <w:jc w:val="both"/>
      </w:pPr>
      <w:r>
        <w:t xml:space="preserve">     między  wartością (dobro) a antywartością (zło). Aspekt prakseologiczny z kolei, to </w:t>
      </w:r>
    </w:p>
    <w:p w14:paraId="44C8234D" w14:textId="77777777" w:rsidR="00786575" w:rsidRDefault="00786575" w:rsidP="00786575">
      <w:pPr>
        <w:spacing w:line="360" w:lineRule="auto"/>
        <w:ind w:firstLine="709"/>
        <w:jc w:val="both"/>
      </w:pPr>
      <w:r>
        <w:t xml:space="preserve">     wolność  polegająca  na  wyborze  (nie)działania,  jak i środków owo (nie)działanie </w:t>
      </w:r>
    </w:p>
    <w:p w14:paraId="4CFF0E86" w14:textId="77777777" w:rsidR="00786575" w:rsidRDefault="00786575" w:rsidP="00786575">
      <w:pPr>
        <w:spacing w:line="360" w:lineRule="auto"/>
        <w:ind w:firstLine="709"/>
        <w:jc w:val="both"/>
      </w:pPr>
      <w:r>
        <w:t xml:space="preserve">     umożliwiających;</w:t>
      </w:r>
    </w:p>
    <w:p w14:paraId="6FDD0471" w14:textId="77777777" w:rsidR="00786575" w:rsidRDefault="00786575" w:rsidP="00786575">
      <w:pPr>
        <w:spacing w:line="360" w:lineRule="auto"/>
        <w:ind w:firstLine="709"/>
        <w:jc w:val="both"/>
      </w:pPr>
      <w:r>
        <w:t xml:space="preserve">2) Wolność kreacji (zewnętrzna), autokreacji (wewnętrzna).Wolność zewnętrzna, czyli </w:t>
      </w:r>
    </w:p>
    <w:p w14:paraId="0D00541F" w14:textId="77777777" w:rsidR="00786575" w:rsidRDefault="00786575" w:rsidP="00786575">
      <w:pPr>
        <w:spacing w:line="360" w:lineRule="auto"/>
        <w:ind w:firstLine="709"/>
        <w:jc w:val="both"/>
      </w:pPr>
      <w:r>
        <w:t xml:space="preserve">     wolność ,,od” – przeszkód,  barier,  ograniczeń,  to  wolność negatywna (brak przy-</w:t>
      </w:r>
    </w:p>
    <w:p w14:paraId="60A7E07B" w14:textId="77777777" w:rsidR="00786575" w:rsidRDefault="00786575" w:rsidP="00786575">
      <w:pPr>
        <w:spacing w:line="360" w:lineRule="auto"/>
        <w:ind w:firstLine="709"/>
        <w:jc w:val="both"/>
      </w:pPr>
      <w:r>
        <w:t xml:space="preserve">     musu). Wolność  wewnętrzna,  czyli  wolność ,,do” – dobra, piękna, prawdy, samo-</w:t>
      </w:r>
    </w:p>
    <w:p w14:paraId="235BC9DE" w14:textId="77777777" w:rsidR="00786575" w:rsidRDefault="00786575" w:rsidP="00786575">
      <w:pPr>
        <w:spacing w:line="360" w:lineRule="auto"/>
        <w:ind w:firstLine="709"/>
        <w:jc w:val="both"/>
      </w:pPr>
      <w:r>
        <w:t xml:space="preserve">     stanowienia, to wolność pozytywna; </w:t>
      </w:r>
    </w:p>
    <w:p w14:paraId="135C14CE" w14:textId="77777777" w:rsidR="00786575" w:rsidRDefault="00786575" w:rsidP="00786575">
      <w:pPr>
        <w:spacing w:line="360" w:lineRule="auto"/>
        <w:ind w:firstLine="709"/>
        <w:jc w:val="both"/>
      </w:pPr>
      <w:r>
        <w:t>3) Wolność  uwarunkowana  (</w:t>
      </w:r>
      <w:r w:rsidRPr="00EE1F40">
        <w:rPr>
          <w:i/>
        </w:rPr>
        <w:t>liberté  sous conditions</w:t>
      </w:r>
      <w:r>
        <w:t>).  Wolność  ta jest uwarunkowa-</w:t>
      </w:r>
    </w:p>
    <w:p w14:paraId="4E96DD6E" w14:textId="77777777" w:rsidR="00786575" w:rsidRPr="007E1AE5" w:rsidRDefault="00786575" w:rsidP="00786575">
      <w:pPr>
        <w:spacing w:line="360" w:lineRule="auto"/>
        <w:ind w:firstLine="709"/>
        <w:jc w:val="both"/>
      </w:pPr>
      <w:r>
        <w:t xml:space="preserve">     na odpowiedzialnością, powiązaną konglomeratem praw i obowiązków.</w:t>
      </w:r>
    </w:p>
    <w:p w14:paraId="0CB9A074" w14:textId="149571A8" w:rsidR="00786575" w:rsidRDefault="00786575" w:rsidP="00786575">
      <w:pPr>
        <w:spacing w:line="360" w:lineRule="auto"/>
        <w:ind w:firstLine="709"/>
        <w:jc w:val="both"/>
      </w:pPr>
      <w:r>
        <w:t>Eksplikujemy ostatni element definicji ,,personalizmu”, jakim jest pojęcie ,,godności osoby ludzkiej” (</w:t>
      </w:r>
      <w:r w:rsidRPr="002063A1">
        <w:rPr>
          <w:i/>
        </w:rPr>
        <w:t>dignitas humana</w:t>
      </w:r>
      <w:r>
        <w:t>)</w:t>
      </w:r>
      <w:r>
        <w:rPr>
          <w:i/>
        </w:rPr>
        <w:t>,</w:t>
      </w:r>
      <w:r>
        <w:t xml:space="preserve"> odwołując się do koncepcji godności osobowej repreze</w:t>
      </w:r>
      <w:r>
        <w:t>n</w:t>
      </w:r>
      <w:r>
        <w:t>towanej przez J. Maritaina i J. Messnera</w:t>
      </w:r>
      <w:r>
        <w:rPr>
          <w:rStyle w:val="Odwoanieprzypisudolnego"/>
        </w:rPr>
        <w:footnoteReference w:id="9"/>
      </w:r>
      <w:r>
        <w:t>. Jest ona przede wszystkim wartością ontyczną. To znaczy, że jest: przyrodzona, niezbywalna, zobowiązująca (w odróżnieniu od ujęcia teol</w:t>
      </w:r>
      <w:r>
        <w:t>o</w:t>
      </w:r>
      <w:r>
        <w:t xml:space="preserve">gicznego, wedle którego godność jest nadprzyrodzona). Godność osoby ludzkiej – używając określenia A. Rodzińskiego – jest  </w:t>
      </w:r>
      <w:r>
        <w:rPr>
          <w:i/>
        </w:rPr>
        <w:t xml:space="preserve">ex definitione </w:t>
      </w:r>
      <w:r>
        <w:t>,,wartością wartości”, co należy rozumieć w ten sposób, że sam człowiek jest wartością najbardziej prymarną. Personalistyczna antropol</w:t>
      </w:r>
      <w:r>
        <w:t>o</w:t>
      </w:r>
      <w:r>
        <w:t xml:space="preserve">gia zakłada obiektywną hierarchię wartości, na której czele znajduje się właśnie </w:t>
      </w:r>
      <w:r>
        <w:rPr>
          <w:i/>
        </w:rPr>
        <w:t>prosopon</w:t>
      </w:r>
      <w:r>
        <w:t xml:space="preserve">, czyli </w:t>
      </w:r>
      <w:r>
        <w:rPr>
          <w:i/>
        </w:rPr>
        <w:t>persona humana.</w:t>
      </w:r>
      <w:r w:rsidRPr="00964365">
        <w:t xml:space="preserve"> </w:t>
      </w:r>
    </w:p>
    <w:p w14:paraId="484D2D4D" w14:textId="77777777" w:rsidR="00786575" w:rsidRDefault="00786575" w:rsidP="00786575">
      <w:pPr>
        <w:spacing w:line="360" w:lineRule="auto"/>
        <w:ind w:firstLine="709"/>
        <w:jc w:val="both"/>
      </w:pPr>
      <w:r>
        <w:t>Po tej refleksji prozopoicznej nad fenomenem podmiotowości osoby przejdźmy do z</w:t>
      </w:r>
      <w:r>
        <w:t>a</w:t>
      </w:r>
      <w:r>
        <w:t>sad personalizmu, które uprawdopodabniają przyjętą tezę o możliwości konstruowania pers</w:t>
      </w:r>
      <w:r>
        <w:t>o</w:t>
      </w:r>
      <w:r>
        <w:t>nalizmu interdyscyplinarnego. W literaturze filozoficznej wymienia się zazwyczaj cztery z</w:t>
      </w:r>
      <w:r>
        <w:t>a</w:t>
      </w:r>
      <w:r>
        <w:t>sady:</w:t>
      </w:r>
    </w:p>
    <w:p w14:paraId="53CFAE6D" w14:textId="77777777" w:rsidR="00786575" w:rsidRDefault="00786575" w:rsidP="00786575">
      <w:pPr>
        <w:spacing w:line="360" w:lineRule="auto"/>
        <w:ind w:firstLine="709"/>
        <w:jc w:val="both"/>
      </w:pPr>
      <w:r>
        <w:t>1) zasada  personacji</w:t>
      </w:r>
      <w:r>
        <w:rPr>
          <w:rStyle w:val="Odwoanieprzypisudolnego"/>
        </w:rPr>
        <w:footnoteReference w:id="10"/>
      </w:r>
      <w:r>
        <w:t xml:space="preserve"> (prymatu  konkretnego  człowieka  jako  osoby  nad  rzeczami i </w:t>
      </w:r>
    </w:p>
    <w:p w14:paraId="61636210" w14:textId="77777777" w:rsidR="00786575" w:rsidRDefault="00786575" w:rsidP="00786575">
      <w:pPr>
        <w:spacing w:line="360" w:lineRule="auto"/>
        <w:ind w:firstLine="709"/>
        <w:jc w:val="both"/>
      </w:pPr>
      <w:r>
        <w:t xml:space="preserve">     społecznościami)</w:t>
      </w:r>
      <w:r>
        <w:rPr>
          <w:rStyle w:val="Odwoanieprzypisudolnego"/>
        </w:rPr>
        <w:footnoteReference w:id="11"/>
      </w:r>
      <w:r>
        <w:t>;</w:t>
      </w:r>
    </w:p>
    <w:p w14:paraId="3CB5F12E" w14:textId="77777777" w:rsidR="00786575" w:rsidRDefault="00786575" w:rsidP="00786575">
      <w:pPr>
        <w:spacing w:line="360" w:lineRule="auto"/>
        <w:ind w:firstLine="709"/>
        <w:jc w:val="both"/>
      </w:pPr>
      <w:r>
        <w:t>2) zasada  dobra  wspólnego (jako  naczelnego  dobra,  ku  któremu zmierza życie spo-</w:t>
      </w:r>
    </w:p>
    <w:p w14:paraId="2AF244BC" w14:textId="77777777" w:rsidR="00786575" w:rsidRDefault="00786575" w:rsidP="00786575">
      <w:pPr>
        <w:spacing w:line="360" w:lineRule="auto"/>
        <w:ind w:firstLine="709"/>
        <w:jc w:val="both"/>
      </w:pPr>
      <w:r>
        <w:t xml:space="preserve">    łeczne człowieka);</w:t>
      </w:r>
    </w:p>
    <w:p w14:paraId="2B439DAA" w14:textId="77777777" w:rsidR="00786575" w:rsidRDefault="00786575" w:rsidP="00786575">
      <w:pPr>
        <w:spacing w:line="360" w:lineRule="auto"/>
        <w:ind w:firstLine="709"/>
        <w:jc w:val="both"/>
      </w:pPr>
      <w:r>
        <w:t>3) zasada  pomocniczości (autonomii  wspólnot mniejszych względem większych, wy-</w:t>
      </w:r>
    </w:p>
    <w:p w14:paraId="5C045387" w14:textId="40893FFF" w:rsidR="00786575" w:rsidRDefault="00FF0504" w:rsidP="00786575">
      <w:pPr>
        <w:spacing w:line="360" w:lineRule="auto"/>
        <w:ind w:firstLine="709"/>
        <w:jc w:val="both"/>
      </w:pPr>
      <w:r>
        <w:t xml:space="preserve">    rażająca</w:t>
      </w:r>
      <w:r w:rsidR="00786575">
        <w:t xml:space="preserve"> się w maksymie: tyle wolności, ile  tylko można, tyle interwencji i pomocy, </w:t>
      </w:r>
    </w:p>
    <w:p w14:paraId="2D055AE7" w14:textId="77777777" w:rsidR="00786575" w:rsidRDefault="00786575" w:rsidP="00786575">
      <w:pPr>
        <w:spacing w:line="360" w:lineRule="auto"/>
        <w:ind w:firstLine="709"/>
        <w:jc w:val="both"/>
      </w:pPr>
      <w:r>
        <w:t xml:space="preserve">    ile niezbędnie potrzeba);</w:t>
      </w:r>
    </w:p>
    <w:p w14:paraId="069CA67A" w14:textId="77777777" w:rsidR="00387F1F" w:rsidRDefault="00786575" w:rsidP="00786575">
      <w:pPr>
        <w:spacing w:line="360" w:lineRule="auto"/>
        <w:ind w:firstLine="709"/>
        <w:jc w:val="both"/>
      </w:pPr>
      <w:r>
        <w:t>4) zasada solidarności (regulująca korelacje między</w:t>
      </w:r>
      <w:r w:rsidR="00387F1F">
        <w:t xml:space="preserve"> poszczególnymi członkami  </w:t>
      </w:r>
    </w:p>
    <w:p w14:paraId="79A3AA0D" w14:textId="3FFE8B7F" w:rsidR="00786575" w:rsidRDefault="00387F1F" w:rsidP="00786575">
      <w:pPr>
        <w:spacing w:line="360" w:lineRule="auto"/>
        <w:ind w:firstLine="709"/>
        <w:jc w:val="both"/>
      </w:pPr>
      <w:r>
        <w:t xml:space="preserve">    wspólnoty </w:t>
      </w:r>
      <w:r w:rsidR="00786575">
        <w:t xml:space="preserve"> i całością).</w:t>
      </w:r>
    </w:p>
    <w:p w14:paraId="16BFAAF6" w14:textId="77777777" w:rsidR="00786575" w:rsidRDefault="00786575" w:rsidP="00786575">
      <w:pPr>
        <w:spacing w:line="360" w:lineRule="auto"/>
        <w:ind w:firstLine="709"/>
        <w:jc w:val="both"/>
      </w:pPr>
      <w:r>
        <w:t>Z perspektywy prowadzonych rozważań katalog ten wypada poszerzyć o dwie kolejne zasady:</w:t>
      </w:r>
    </w:p>
    <w:p w14:paraId="520E6B1E" w14:textId="77777777" w:rsidR="00786575" w:rsidRDefault="00786575" w:rsidP="00786575">
      <w:pPr>
        <w:spacing w:line="360" w:lineRule="auto"/>
        <w:ind w:firstLine="709"/>
        <w:jc w:val="both"/>
      </w:pPr>
      <w:r>
        <w:t>5) zasada  personacji  społeczności (tworzenia  społeczności, w których struktury, oby-</w:t>
      </w:r>
    </w:p>
    <w:p w14:paraId="0E30503E" w14:textId="77777777" w:rsidR="00786575" w:rsidRDefault="00786575" w:rsidP="00786575">
      <w:pPr>
        <w:spacing w:line="360" w:lineRule="auto"/>
        <w:ind w:firstLine="709"/>
        <w:jc w:val="both"/>
      </w:pPr>
      <w:r>
        <w:t xml:space="preserve">    czaje, instytucje miałyby charakter bardziej osobowy, podkreślający  podmiotowość </w:t>
      </w:r>
    </w:p>
    <w:p w14:paraId="6E83150A" w14:textId="77777777" w:rsidR="00786575" w:rsidRDefault="00786575" w:rsidP="00786575">
      <w:pPr>
        <w:spacing w:line="360" w:lineRule="auto"/>
        <w:ind w:firstLine="709"/>
        <w:jc w:val="both"/>
      </w:pPr>
      <w:r>
        <w:t xml:space="preserve">    społeczeństwa)</w:t>
      </w:r>
      <w:r>
        <w:rPr>
          <w:rStyle w:val="Odwoanieprzypisudolnego"/>
        </w:rPr>
        <w:footnoteReference w:id="12"/>
      </w:r>
      <w:r>
        <w:t>;</w:t>
      </w:r>
    </w:p>
    <w:p w14:paraId="35CB1B84" w14:textId="77777777" w:rsidR="00786575" w:rsidRDefault="00786575" w:rsidP="00786575">
      <w:pPr>
        <w:spacing w:line="360" w:lineRule="auto"/>
        <w:ind w:firstLine="709"/>
        <w:jc w:val="both"/>
        <w:rPr>
          <w:i/>
        </w:rPr>
      </w:pPr>
      <w:r>
        <w:t xml:space="preserve">6) zasada  prakseologizmu   – </w:t>
      </w:r>
      <w:r>
        <w:rPr>
          <w:i/>
        </w:rPr>
        <w:t xml:space="preserve">ago, ergo sum </w:t>
      </w:r>
      <w:r>
        <w:t>−</w:t>
      </w:r>
      <w:r>
        <w:rPr>
          <w:i/>
        </w:rPr>
        <w:t xml:space="preserve"> </w:t>
      </w:r>
      <w:r>
        <w:t xml:space="preserve">działam,  więc jestem (trawestacja </w:t>
      </w:r>
      <w:r>
        <w:rPr>
          <w:i/>
        </w:rPr>
        <w:t xml:space="preserve">ada    </w:t>
      </w:r>
    </w:p>
    <w:p w14:paraId="4BEB6C99" w14:textId="77777777" w:rsidR="00786575" w:rsidRDefault="00786575" w:rsidP="00786575">
      <w:pPr>
        <w:spacing w:line="360" w:lineRule="auto"/>
        <w:ind w:firstLine="709"/>
        <w:jc w:val="both"/>
      </w:pPr>
      <w:r>
        <w:rPr>
          <w:i/>
        </w:rPr>
        <w:t xml:space="preserve">   gium</w:t>
      </w:r>
      <w:r>
        <w:t xml:space="preserve"> kartezjańskiego) zarówno  jako osoba  autonomiczna,  przyczyniając się do sa-</w:t>
      </w:r>
    </w:p>
    <w:p w14:paraId="21B1F4AA" w14:textId="77777777" w:rsidR="00786575" w:rsidRDefault="00786575" w:rsidP="00786575">
      <w:pPr>
        <w:spacing w:line="360" w:lineRule="auto"/>
        <w:ind w:firstLine="709"/>
        <w:jc w:val="both"/>
      </w:pPr>
      <w:r>
        <w:t xml:space="preserve">    mopoznania, samorealizacji, samoświadomości, a także jako osoba społeczna, kreu-</w:t>
      </w:r>
    </w:p>
    <w:p w14:paraId="4303D162" w14:textId="22A32E2C" w:rsidR="00786575" w:rsidRDefault="00786575" w:rsidP="00786575">
      <w:pPr>
        <w:spacing w:line="360" w:lineRule="auto"/>
        <w:ind w:firstLine="709"/>
        <w:jc w:val="both"/>
      </w:pPr>
      <w:r>
        <w:t xml:space="preserve">    jąc sprawną  praktykę, przydatne  procedury, skute</w:t>
      </w:r>
      <w:r w:rsidR="00292DCF">
        <w:t>czne  współdziałanie  w  zorgani</w:t>
      </w:r>
      <w:r>
        <w:t>-</w:t>
      </w:r>
    </w:p>
    <w:p w14:paraId="04847C37" w14:textId="64E98929" w:rsidR="00786575" w:rsidRPr="00FA5813" w:rsidRDefault="00292DCF" w:rsidP="00786575">
      <w:pPr>
        <w:spacing w:line="360" w:lineRule="auto"/>
        <w:ind w:firstLine="709"/>
        <w:jc w:val="both"/>
      </w:pPr>
      <w:r>
        <w:t xml:space="preserve">    zowanej</w:t>
      </w:r>
      <w:r w:rsidR="00786575">
        <w:t xml:space="preserve"> społeczności</w:t>
      </w:r>
      <w:r w:rsidR="00786575">
        <w:rPr>
          <w:rStyle w:val="Odwoanieprzypisudolnego"/>
        </w:rPr>
        <w:footnoteReference w:id="13"/>
      </w:r>
      <w:r w:rsidR="00786575">
        <w:t>.</w:t>
      </w:r>
    </w:p>
    <w:p w14:paraId="699DF4C3" w14:textId="7ACD0992" w:rsidR="00786575" w:rsidRPr="00986EB8" w:rsidRDefault="00786575" w:rsidP="00786575">
      <w:pPr>
        <w:spacing w:line="360" w:lineRule="auto"/>
        <w:jc w:val="center"/>
        <w:rPr>
          <w:b/>
          <w:color w:val="C0504D" w:themeColor="accent2"/>
        </w:rPr>
      </w:pPr>
      <w:r>
        <w:rPr>
          <w:b/>
        </w:rPr>
        <w:t xml:space="preserve">III. Relacje semantyczne między </w:t>
      </w:r>
      <w:r w:rsidR="001B4A12">
        <w:rPr>
          <w:b/>
        </w:rPr>
        <w:t>„</w:t>
      </w:r>
      <w:r>
        <w:rPr>
          <w:b/>
        </w:rPr>
        <w:t>kulturą</w:t>
      </w:r>
      <w:r w:rsidR="001B4A12">
        <w:rPr>
          <w:b/>
        </w:rPr>
        <w:t>”</w:t>
      </w:r>
      <w:r>
        <w:rPr>
          <w:b/>
        </w:rPr>
        <w:t xml:space="preserve">, </w:t>
      </w:r>
      <w:r w:rsidR="001B4A12">
        <w:rPr>
          <w:b/>
        </w:rPr>
        <w:t>„</w:t>
      </w:r>
      <w:r>
        <w:rPr>
          <w:b/>
        </w:rPr>
        <w:t>prawem</w:t>
      </w:r>
      <w:r w:rsidR="001B4A12">
        <w:rPr>
          <w:b/>
        </w:rPr>
        <w:t>”</w:t>
      </w:r>
      <w:r>
        <w:rPr>
          <w:b/>
        </w:rPr>
        <w:t xml:space="preserve"> a </w:t>
      </w:r>
      <w:r w:rsidR="001B4A12">
        <w:rPr>
          <w:b/>
        </w:rPr>
        <w:t>„</w:t>
      </w:r>
      <w:r>
        <w:rPr>
          <w:b/>
        </w:rPr>
        <w:t>kulturą prawną</w:t>
      </w:r>
      <w:r w:rsidR="001B4A12">
        <w:rPr>
          <w:b/>
        </w:rPr>
        <w:t>”</w:t>
      </w:r>
      <w:r w:rsidR="00986EB8">
        <w:rPr>
          <w:b/>
        </w:rPr>
        <w:t xml:space="preserve"> </w:t>
      </w:r>
    </w:p>
    <w:p w14:paraId="6BC3D22D" w14:textId="2DCE0D1C" w:rsidR="00786575" w:rsidRDefault="00786575" w:rsidP="00786575">
      <w:pPr>
        <w:spacing w:line="360" w:lineRule="auto"/>
        <w:ind w:firstLine="709"/>
        <w:jc w:val="both"/>
      </w:pPr>
      <w:r>
        <w:t>Semantyka wyrazu ,,</w:t>
      </w:r>
      <w:r w:rsidRPr="00BE5C18">
        <w:t>kultura</w:t>
      </w:r>
      <w:r>
        <w:t xml:space="preserve">” obejmuje dwa  terminy: grecki </w:t>
      </w:r>
      <w:r w:rsidRPr="00BE5C18">
        <w:rPr>
          <w:i/>
        </w:rPr>
        <w:t>paidagogia</w:t>
      </w:r>
      <w:r>
        <w:t xml:space="preserve"> (wychow</w:t>
      </w:r>
      <w:r>
        <w:t>a</w:t>
      </w:r>
      <w:r>
        <w:t xml:space="preserve">nie) i łaciński </w:t>
      </w:r>
      <w:r w:rsidRPr="00BE5C18">
        <w:rPr>
          <w:i/>
        </w:rPr>
        <w:t>cultu</w:t>
      </w:r>
      <w:r>
        <w:rPr>
          <w:i/>
        </w:rPr>
        <w:t>ra</w:t>
      </w:r>
      <w:r>
        <w:t xml:space="preserve"> (kultura, uprawa). Pole semantyczne pierwszego terminu oznacza kult</w:t>
      </w:r>
      <w:r>
        <w:t>u</w:t>
      </w:r>
      <w:r>
        <w:t>rę i rozwój człowieka, natomiast drugiego − uwypukla kształcenie w oparciu o kulturę um</w:t>
      </w:r>
      <w:r>
        <w:t>y</w:t>
      </w:r>
      <w:r>
        <w:t>słową i duchową</w:t>
      </w:r>
      <w:r>
        <w:rPr>
          <w:rStyle w:val="Odwoanieprzypisudolnego"/>
        </w:rPr>
        <w:footnoteReference w:id="14"/>
      </w:r>
      <w:r>
        <w:t>. Legły one u podstaw tego, co za Cyceronem nazwano kulturą w sensie uprawy człowieczeństwa poprzez kształcenie i wychowanie. Z pojęciem ,,</w:t>
      </w:r>
      <w:r w:rsidRPr="00BE5C18">
        <w:t>kultury</w:t>
      </w:r>
      <w:r>
        <w:t xml:space="preserve">” ściśle się wiąże termin </w:t>
      </w:r>
      <w:r>
        <w:rPr>
          <w:i/>
        </w:rPr>
        <w:t>cywilizacja</w:t>
      </w:r>
      <w:r>
        <w:t xml:space="preserve"> (etymologicznie: </w:t>
      </w:r>
      <w:r w:rsidRPr="0039768B">
        <w:rPr>
          <w:i/>
        </w:rPr>
        <w:t>civis</w:t>
      </w:r>
      <w:r>
        <w:t xml:space="preserve"> – obywatel, </w:t>
      </w:r>
      <w:r w:rsidRPr="0039768B">
        <w:rPr>
          <w:i/>
        </w:rPr>
        <w:t>civitas</w:t>
      </w:r>
      <w:r>
        <w:t xml:space="preserve"> – państwo)</w:t>
      </w:r>
      <w:r>
        <w:rPr>
          <w:rStyle w:val="Odwoanieprzypisudolnego"/>
        </w:rPr>
        <w:footnoteReference w:id="15"/>
      </w:r>
      <w:r>
        <w:t>. Idąc za A. Rodzińskim, cywilizację odnosi się do kultury materialnej (przemysłowej, technicznej), oraz do ustroju społecznego, kulturę zaś w sensie ścisłym – do postawy duchowej, moralności, filozofii, nauki i sztuki.</w:t>
      </w:r>
    </w:p>
    <w:p w14:paraId="5262F36B" w14:textId="3531544C" w:rsidR="00786575" w:rsidRDefault="00786575" w:rsidP="00786575">
      <w:pPr>
        <w:spacing w:line="360" w:lineRule="auto"/>
        <w:ind w:firstLine="709"/>
        <w:jc w:val="both"/>
      </w:pPr>
      <w:r>
        <w:t>Rozwój pojęcia ,,kultura” w aspekcie filozoficznym ujawnia cztery sposoby jego r</w:t>
      </w:r>
      <w:r>
        <w:t>o</w:t>
      </w:r>
      <w:r>
        <w:t>zumienia: funkcjonalny, selektywny, antropologiczny i personalistyczny</w:t>
      </w:r>
      <w:r>
        <w:rPr>
          <w:rStyle w:val="Odwoanieprzypisudolnego"/>
        </w:rPr>
        <w:footnoteReference w:id="16"/>
      </w:r>
      <w:r>
        <w:t>. Z punktu widzenia prowadzonych rozważań interesuje nas ujęcie ostatnie. Ujęcie personalistyczne jest integra</w:t>
      </w:r>
      <w:r>
        <w:t>l</w:t>
      </w:r>
      <w:r>
        <w:t>nym ujęciem kultury. Osoba i jej rozwój są celem i sensem kultury za sprawą realizacji kl</w:t>
      </w:r>
      <w:r>
        <w:t>a</w:t>
      </w:r>
      <w:r>
        <w:t>sycznych wartości: prawdy, piękna i dobra. Kultura pojmowana integralnie obejmuje dwa wymiary człowieka: być i mieć. Jan Paweł II tak o tym pisał: ,,Wszystko, co człowiek ma (posiada) o tyle jest ważne dla kultury, o ile jest kulturotwórcze, o ile człowiek poprzez to, co posiada, może równocześnie pełniej być jako człowiek, pełniej stawać się człowiekiem we wszystkich właściwych dla człowieczeństwa wymiarach swego bytowania”. J. Maritain n</w:t>
      </w:r>
      <w:r>
        <w:t>a</w:t>
      </w:r>
      <w:r>
        <w:t>tomiast twierdził, że kultura dotyczy porządku społeczno-ziemskiego, i jako wartość ziemska jest przemijająca. Jako taka może ona być tylko pośrednim celem ludzkich dążeń i należy ją podporządkować religii, ponieważ religia jest rzeczywistością wyższą. Kultura w żadnym razie nie powinna zastępować religii, bowiem są to różne fenomeny, zarówno pod względem pochodzenia, jak i celów.</w:t>
      </w:r>
    </w:p>
    <w:p w14:paraId="39213F71" w14:textId="407BC891" w:rsidR="00786575" w:rsidRDefault="00786575" w:rsidP="00786575">
      <w:pPr>
        <w:spacing w:line="360" w:lineRule="auto"/>
        <w:ind w:firstLine="709"/>
        <w:jc w:val="both"/>
      </w:pPr>
      <w:r>
        <w:t xml:space="preserve"> Można wyodrębnić sześć typów definicji kultury. Pięć pierwszych podajemy za W. Kaweckim, poszerzając ten katalog o definicje jurydyczne:</w:t>
      </w:r>
    </w:p>
    <w:p w14:paraId="4B8B9749" w14:textId="77777777" w:rsidR="00786575" w:rsidRDefault="00786575" w:rsidP="00786575">
      <w:pPr>
        <w:spacing w:line="360" w:lineRule="auto"/>
        <w:ind w:firstLine="709"/>
        <w:jc w:val="both"/>
      </w:pPr>
      <w:r>
        <w:t>1) definicje antropologiczne – kultura  jako  niewartościująca całość wytworów i dzia-</w:t>
      </w:r>
    </w:p>
    <w:p w14:paraId="45379F11" w14:textId="77777777" w:rsidR="00786575" w:rsidRDefault="00786575" w:rsidP="00786575">
      <w:pPr>
        <w:spacing w:line="360" w:lineRule="auto"/>
        <w:ind w:firstLine="709"/>
        <w:jc w:val="both"/>
      </w:pPr>
      <w:r>
        <w:t xml:space="preserve">    łań człowieka ujmowana przez pryzmat funkcji społecznych;</w:t>
      </w:r>
    </w:p>
    <w:p w14:paraId="01DE16F6" w14:textId="77777777" w:rsidR="00786575" w:rsidRDefault="00786575" w:rsidP="00786575">
      <w:pPr>
        <w:spacing w:line="360" w:lineRule="auto"/>
        <w:ind w:firstLine="709"/>
        <w:jc w:val="both"/>
      </w:pPr>
      <w:r>
        <w:t>2) definicje filozoficzne – kultura jako wartościujący wytwór ideowo-myślowy;</w:t>
      </w:r>
    </w:p>
    <w:p w14:paraId="40238F4B" w14:textId="77777777" w:rsidR="00786575" w:rsidRDefault="00786575" w:rsidP="00786575">
      <w:pPr>
        <w:spacing w:line="360" w:lineRule="auto"/>
        <w:ind w:firstLine="709"/>
        <w:jc w:val="both"/>
      </w:pPr>
      <w:r>
        <w:t>3) definicje socjologiczne – kultura  jako interpersonalne  relacje  zachodzące w  okre-</w:t>
      </w:r>
    </w:p>
    <w:p w14:paraId="2F3D055E" w14:textId="77777777" w:rsidR="00786575" w:rsidRDefault="00786575" w:rsidP="00786575">
      <w:pPr>
        <w:spacing w:line="360" w:lineRule="auto"/>
        <w:ind w:firstLine="709"/>
        <w:jc w:val="both"/>
      </w:pPr>
      <w:r>
        <w:t xml:space="preserve">  ślonej społeczności;</w:t>
      </w:r>
    </w:p>
    <w:p w14:paraId="5303BED0" w14:textId="77777777" w:rsidR="00786575" w:rsidRDefault="00786575" w:rsidP="00786575">
      <w:pPr>
        <w:spacing w:line="360" w:lineRule="auto"/>
        <w:ind w:firstLine="709"/>
        <w:jc w:val="both"/>
      </w:pPr>
      <w:r>
        <w:t>4) definicje psychologiczne – kultura  jako wpływ emocji, zwyczajów, postaw, osobo-</w:t>
      </w:r>
    </w:p>
    <w:p w14:paraId="51BC1F55" w14:textId="77777777" w:rsidR="00786575" w:rsidRDefault="00786575" w:rsidP="00786575">
      <w:pPr>
        <w:spacing w:line="360" w:lineRule="auto"/>
        <w:ind w:firstLine="709"/>
        <w:jc w:val="both"/>
      </w:pPr>
      <w:r>
        <w:t xml:space="preserve">     wości na jej kształt;</w:t>
      </w:r>
    </w:p>
    <w:p w14:paraId="390ADDB1" w14:textId="77777777" w:rsidR="00786575" w:rsidRDefault="00786575" w:rsidP="00786575">
      <w:pPr>
        <w:spacing w:line="360" w:lineRule="auto"/>
        <w:ind w:firstLine="709"/>
        <w:jc w:val="both"/>
      </w:pPr>
      <w:r>
        <w:t>5) definicje historyczne – kultura jako zjawisko historyczne, ewolucyjne, genetyczne;</w:t>
      </w:r>
    </w:p>
    <w:p w14:paraId="70E792A9" w14:textId="77777777" w:rsidR="00786575" w:rsidRDefault="00786575" w:rsidP="00786575">
      <w:pPr>
        <w:spacing w:line="360" w:lineRule="auto"/>
        <w:ind w:firstLine="709"/>
        <w:jc w:val="both"/>
      </w:pPr>
      <w:r>
        <w:t xml:space="preserve">6) definicje jurydyczne – kultura  jako zespół postaw i zachowań, tak indywidualnych, </w:t>
      </w:r>
    </w:p>
    <w:p w14:paraId="7EF2428B" w14:textId="77777777" w:rsidR="00786575" w:rsidRDefault="00786575" w:rsidP="00786575">
      <w:pPr>
        <w:spacing w:line="360" w:lineRule="auto"/>
        <w:ind w:firstLine="709"/>
        <w:jc w:val="both"/>
      </w:pPr>
      <w:r>
        <w:t xml:space="preserve">    jak i zbiorowych, a także ich rezultatów wobec prawa.</w:t>
      </w:r>
    </w:p>
    <w:p w14:paraId="2EEFD717" w14:textId="77777777" w:rsidR="00786575" w:rsidRDefault="00786575" w:rsidP="00786575">
      <w:pPr>
        <w:spacing w:line="360" w:lineRule="auto"/>
        <w:ind w:firstLine="709"/>
        <w:jc w:val="both"/>
      </w:pPr>
      <w:r>
        <w:t>Z pojęciem kultury koreluje pojęcie prawa. Prawo bowiem jest elementem ludzkiej kultury w tym sensie, że jest właściwością charakteryzującą udział człowieka w społecze</w:t>
      </w:r>
      <w:r>
        <w:t>ń</w:t>
      </w:r>
      <w:r>
        <w:t xml:space="preserve">stwie. </w:t>
      </w:r>
    </w:p>
    <w:p w14:paraId="421B6C4A" w14:textId="0D7C1D38" w:rsidR="00786575" w:rsidRDefault="00786575" w:rsidP="00786575">
      <w:pPr>
        <w:spacing w:line="360" w:lineRule="auto"/>
        <w:ind w:firstLine="709"/>
        <w:jc w:val="both"/>
      </w:pPr>
      <w:r>
        <w:t>Idąc za A. Kojderem</w:t>
      </w:r>
      <w:r w:rsidR="00B717E1">
        <w:t xml:space="preserve"> (</w:t>
      </w:r>
      <w:r w:rsidR="00B717E1">
        <w:rPr>
          <w:i/>
        </w:rPr>
        <w:t>Godność i siła prawa</w:t>
      </w:r>
      <w:r w:rsidR="00B717E1">
        <w:t>, Warszawa 1995)</w:t>
      </w:r>
      <w:r>
        <w:t xml:space="preserve"> wyróżniamy trzy kat</w:t>
      </w:r>
      <w:r>
        <w:t>e</w:t>
      </w:r>
      <w:r>
        <w:t>gorie definicji pr</w:t>
      </w:r>
      <w:r>
        <w:t>a</w:t>
      </w:r>
      <w:r>
        <w:t>wa:</w:t>
      </w:r>
    </w:p>
    <w:p w14:paraId="3116320B" w14:textId="77777777" w:rsidR="00786575" w:rsidRDefault="00786575" w:rsidP="00786575">
      <w:pPr>
        <w:spacing w:line="360" w:lineRule="auto"/>
        <w:ind w:firstLine="709"/>
        <w:jc w:val="both"/>
      </w:pPr>
      <w:r>
        <w:t xml:space="preserve">1) etatystyczno-jurydyczne – (np. ,,prawem  są   reguły  postępowania   zabezpieczone </w:t>
      </w:r>
    </w:p>
    <w:p w14:paraId="3B8A9DB3" w14:textId="77777777" w:rsidR="00786575" w:rsidRDefault="00786575" w:rsidP="00786575">
      <w:pPr>
        <w:spacing w:line="360" w:lineRule="auto"/>
        <w:ind w:firstLine="709"/>
        <w:jc w:val="both"/>
      </w:pPr>
      <w:r>
        <w:t xml:space="preserve">    przymusem państwa”);</w:t>
      </w:r>
    </w:p>
    <w:p w14:paraId="4FD09D5D" w14:textId="77777777" w:rsidR="00786575" w:rsidRDefault="00786575" w:rsidP="00786575">
      <w:pPr>
        <w:spacing w:line="360" w:lineRule="auto"/>
        <w:ind w:firstLine="709"/>
        <w:jc w:val="both"/>
      </w:pPr>
      <w:r>
        <w:t>2) socjologiczne – (np. ,,prawo to sformalizowana wzajemna  relacja uprawnień i obo-</w:t>
      </w:r>
    </w:p>
    <w:p w14:paraId="1131E19D" w14:textId="77777777" w:rsidR="00786575" w:rsidRDefault="00786575" w:rsidP="00786575">
      <w:pPr>
        <w:spacing w:line="360" w:lineRule="auto"/>
        <w:ind w:firstLine="709"/>
        <w:jc w:val="both"/>
      </w:pPr>
      <w:r>
        <w:t xml:space="preserve">    wiązków eufunkcjonalna w stosunku do danego systemu społecznego”);</w:t>
      </w:r>
    </w:p>
    <w:p w14:paraId="41A8FBEF" w14:textId="77777777" w:rsidR="00786575" w:rsidRDefault="00786575" w:rsidP="00786575">
      <w:pPr>
        <w:spacing w:line="360" w:lineRule="auto"/>
        <w:ind w:firstLine="709"/>
        <w:jc w:val="both"/>
      </w:pPr>
      <w:r>
        <w:t xml:space="preserve">3) antropologiczne – (np. ,,reguły  prawa  wyodrębniają  się  od  reszty  reguł  pod tym </w:t>
      </w:r>
    </w:p>
    <w:p w14:paraId="0AD5C6A3" w14:textId="77777777" w:rsidR="00786575" w:rsidRDefault="00786575" w:rsidP="00786575">
      <w:pPr>
        <w:spacing w:line="360" w:lineRule="auto"/>
        <w:ind w:firstLine="709"/>
        <w:jc w:val="both"/>
      </w:pPr>
      <w:r>
        <w:t xml:space="preserve">    względem, że odczuwa się je i uważa za zobowiązanie jednej  osoby oraz uprawnio-</w:t>
      </w:r>
    </w:p>
    <w:p w14:paraId="46320147" w14:textId="77777777" w:rsidR="00786575" w:rsidRDefault="00786575" w:rsidP="00786575">
      <w:pPr>
        <w:spacing w:line="360" w:lineRule="auto"/>
        <w:ind w:firstLine="709"/>
        <w:jc w:val="both"/>
      </w:pPr>
      <w:r>
        <w:t xml:space="preserve">    ne roszczenie innej”).</w:t>
      </w:r>
    </w:p>
    <w:p w14:paraId="0767E520" w14:textId="5370B0D9" w:rsidR="00786575" w:rsidRDefault="00786575" w:rsidP="00786575">
      <w:pPr>
        <w:spacing w:line="360" w:lineRule="auto"/>
        <w:ind w:firstLine="709"/>
        <w:jc w:val="both"/>
      </w:pPr>
      <w:r>
        <w:t>Tak oto od terminów: ,,kultura” i ,,prawo” dochodzimy do potrzeby zdefiniowania p</w:t>
      </w:r>
      <w:r>
        <w:t>o</w:t>
      </w:r>
      <w:r>
        <w:t>jęcia ,,kultury prawnej”. Prawie każda definicja kultury prawnej jest osadzona w kontekście historycznym i większość badaczy podaje definicje wartościujące. Rzadko bowiem można spotkać definicje pozbawione tego elementu, czego przykładem jest definicja S. Russsocki</w:t>
      </w:r>
      <w:r>
        <w:t>e</w:t>
      </w:r>
      <w:r>
        <w:t>go: ,,kultura prawna to zespół splecionych ze sobą postaw i zachowań – tak indywidualnych, jak i zbiorowych – a także ich rezultatów wobec prawa, czyli powinności, reguł, norm narz</w:t>
      </w:r>
      <w:r>
        <w:t>u</w:t>
      </w:r>
      <w:r>
        <w:t>canych, wyposażonych w stosowną sankcję i systematycznie egzekwowanych przez właściwy danej społeczności autorytet, a wynikających z podzielanego przez tę zbiorowość systemu wartości; rzeczony zespół postaw, zachowań i ich rezultatów, podzielany, przyswajany, a ta</w:t>
      </w:r>
      <w:r>
        <w:t>k</w:t>
      </w:r>
      <w:r>
        <w:t>że przekazywany innym pod postacią wzorów, służy zarazem w sposób obiektywny i symb</w:t>
      </w:r>
      <w:r>
        <w:t>o</w:t>
      </w:r>
      <w:r>
        <w:t>liczny do przekształcania zbiorowości ludzkich w odrębną, świadomą tego stanu rzeczy sp</w:t>
      </w:r>
      <w:r>
        <w:t>o</w:t>
      </w:r>
      <w:r>
        <w:t xml:space="preserve">łeczność”. </w:t>
      </w:r>
    </w:p>
    <w:p w14:paraId="37CDB86B" w14:textId="253D63BA" w:rsidR="00786575" w:rsidRDefault="00786575" w:rsidP="00786575">
      <w:pPr>
        <w:spacing w:line="360" w:lineRule="auto"/>
        <w:ind w:firstLine="709"/>
        <w:jc w:val="both"/>
      </w:pPr>
      <w:r>
        <w:t>Wśród przykładów definiowania wartościującego kulturę prawną mamy propozycję H. Olszewskiego: kultura prawna to szeroka partycypacja obywateli w życiu publicznym, to sz</w:t>
      </w:r>
      <w:r>
        <w:t>a</w:t>
      </w:r>
      <w:r>
        <w:t>nowanie i akceptowanie obowiązującego prawa, a także przeświadczenie, że jest ono słuszne; państwo źle znosi obojętność obywateli, apatię w życiu publicznym, kultura prawna w dem</w:t>
      </w:r>
      <w:r>
        <w:t>o</w:t>
      </w:r>
      <w:r>
        <w:t xml:space="preserve">kratycznym państwie prawnym polega na łączeniu postaw indywidualnych z poszanowaniem wartości wyższych. Prawo nie może być aksjologicznie neutralne. Kultura prawna to synonim wiedzy, wykształcenia, otwartości i wrażliwości, to </w:t>
      </w:r>
      <w:r w:rsidRPr="00844D03">
        <w:rPr>
          <w:i/>
        </w:rPr>
        <w:t>ethos</w:t>
      </w:r>
      <w:r>
        <w:t xml:space="preserve">. </w:t>
      </w:r>
    </w:p>
    <w:p w14:paraId="6A28B8C2" w14:textId="77777777" w:rsidR="00786575" w:rsidRDefault="00786575" w:rsidP="00786575">
      <w:pPr>
        <w:spacing w:line="360" w:lineRule="auto"/>
        <w:ind w:firstLine="709"/>
        <w:jc w:val="both"/>
      </w:pPr>
      <w:r>
        <w:t>Analizy nad istotą kultury prawnej, prowadzone przez filozofów, teoretyków, histor</w:t>
      </w:r>
      <w:r>
        <w:t>y</w:t>
      </w:r>
      <w:r>
        <w:t>ków i socjologów prawa z uwzględnieniem przemian, którym ulega prawo w czasach nam współczesnych, pozwalają na zrekonstruowanie uproszczonej typologii definicji kultury prawnej. Wyodrębniamy cztery typy:</w:t>
      </w:r>
    </w:p>
    <w:p w14:paraId="3744ED27" w14:textId="77777777" w:rsidR="00786575" w:rsidRDefault="00786575" w:rsidP="00786575">
      <w:pPr>
        <w:spacing w:line="360" w:lineRule="auto"/>
        <w:ind w:firstLine="709"/>
        <w:jc w:val="both"/>
      </w:pPr>
      <w:r>
        <w:t xml:space="preserve">1) definicja antropologiczna - ,,kultura   prawna  to  zespół  społecznie  dokonywanych </w:t>
      </w:r>
    </w:p>
    <w:p w14:paraId="6A4AC29D" w14:textId="77777777" w:rsidR="00786575" w:rsidRDefault="00786575" w:rsidP="00786575">
      <w:pPr>
        <w:spacing w:line="360" w:lineRule="auto"/>
        <w:ind w:firstLine="709"/>
        <w:jc w:val="both"/>
      </w:pPr>
      <w:r>
        <w:t xml:space="preserve">    działań  symbolicznych (czyli działań znaków, będących nośnikami pojęć ewentual-</w:t>
      </w:r>
    </w:p>
    <w:p w14:paraId="5118EBE2" w14:textId="77777777" w:rsidR="00786575" w:rsidRDefault="00786575" w:rsidP="00786575">
      <w:pPr>
        <w:spacing w:line="360" w:lineRule="auto"/>
        <w:ind w:firstLine="709"/>
        <w:jc w:val="both"/>
      </w:pPr>
      <w:r>
        <w:t xml:space="preserve">    nie  treści  abstrakcyjnych),  realizujących  zawarte  w prawie wzory działań symbo-</w:t>
      </w:r>
    </w:p>
    <w:p w14:paraId="441E17B1" w14:textId="3F27A9D1" w:rsidR="00786575" w:rsidRDefault="00786575" w:rsidP="00786575">
      <w:pPr>
        <w:spacing w:line="360" w:lineRule="auto"/>
        <w:ind w:firstLine="709"/>
        <w:jc w:val="both"/>
      </w:pPr>
      <w:r>
        <w:t xml:space="preserve">    licznych”;</w:t>
      </w:r>
    </w:p>
    <w:p w14:paraId="517FABEE" w14:textId="77777777" w:rsidR="00786575" w:rsidRDefault="00786575" w:rsidP="00786575">
      <w:pPr>
        <w:spacing w:line="360" w:lineRule="auto"/>
        <w:ind w:firstLine="709"/>
        <w:jc w:val="both"/>
      </w:pPr>
      <w:r>
        <w:t>2) definicja behawioralna - ,,kultura  prawna  to  ogół manifestowanych postaw i prze-</w:t>
      </w:r>
    </w:p>
    <w:p w14:paraId="29F3A001" w14:textId="6FAA8932" w:rsidR="00786575" w:rsidRDefault="00786575" w:rsidP="00786575">
      <w:pPr>
        <w:spacing w:line="360" w:lineRule="auto"/>
        <w:ind w:firstLine="709"/>
        <w:jc w:val="both"/>
      </w:pPr>
      <w:r>
        <w:t xml:space="preserve">    konań wobec prawa”;</w:t>
      </w:r>
    </w:p>
    <w:p w14:paraId="024E1857" w14:textId="77777777" w:rsidR="00786575" w:rsidRDefault="00786575" w:rsidP="00786575">
      <w:pPr>
        <w:spacing w:line="360" w:lineRule="auto"/>
        <w:ind w:firstLine="709"/>
        <w:jc w:val="both"/>
      </w:pPr>
      <w:r>
        <w:t>3) definicja komparatystyczna - ,,kultura prawna jest […]  obrazem prawa pozytywne-</w:t>
      </w:r>
    </w:p>
    <w:p w14:paraId="09086A25" w14:textId="77777777" w:rsidR="00786575" w:rsidRDefault="00786575" w:rsidP="00786575">
      <w:pPr>
        <w:spacing w:line="360" w:lineRule="auto"/>
        <w:ind w:firstLine="709"/>
        <w:jc w:val="both"/>
      </w:pPr>
      <w:r>
        <w:t xml:space="preserve">    go, widzianym  w  świetle  prawa  intuicyjnego. W  takim  ujęciu  na kulturę prawną </w:t>
      </w:r>
    </w:p>
    <w:p w14:paraId="22DCCB30" w14:textId="77777777" w:rsidR="00786575" w:rsidRDefault="00786575" w:rsidP="00786575">
      <w:pPr>
        <w:spacing w:line="360" w:lineRule="auto"/>
        <w:ind w:firstLine="709"/>
        <w:jc w:val="both"/>
      </w:pPr>
      <w:r>
        <w:t xml:space="preserve">    składa  się  całokształt  społecznie  akceptowanych  wzorów racjonalnego tworzenia </w:t>
      </w:r>
    </w:p>
    <w:p w14:paraId="0B6BAE53" w14:textId="77777777" w:rsidR="00786575" w:rsidRDefault="00786575" w:rsidP="00786575">
      <w:pPr>
        <w:spacing w:line="360" w:lineRule="auto"/>
        <w:ind w:firstLine="709"/>
        <w:jc w:val="both"/>
      </w:pPr>
      <w:r>
        <w:t xml:space="preserve">    prawa  pozytywnego, jego efektywnego obowiązywania i właściwego (zgodnego ze </w:t>
      </w:r>
    </w:p>
    <w:p w14:paraId="3D0B4BBB" w14:textId="58D08AFB" w:rsidR="00786575" w:rsidRDefault="00786575" w:rsidP="00786575">
      <w:pPr>
        <w:spacing w:line="360" w:lineRule="auto"/>
        <w:ind w:firstLine="709"/>
        <w:jc w:val="both"/>
      </w:pPr>
      <w:r>
        <w:t xml:space="preserve">    społecznym poczuciem sprawiedliwości) stosowania”;</w:t>
      </w:r>
    </w:p>
    <w:p w14:paraId="75650F26" w14:textId="77777777" w:rsidR="00786575" w:rsidRDefault="00786575" w:rsidP="00786575">
      <w:pPr>
        <w:spacing w:line="360" w:lineRule="auto"/>
        <w:ind w:firstLine="709"/>
        <w:jc w:val="both"/>
      </w:pPr>
      <w:r>
        <w:t xml:space="preserve">4) definicja  systemowa - ,,pojęcie  «kultury prawnej»  używane  jest  przeważnie  jako </w:t>
      </w:r>
    </w:p>
    <w:p w14:paraId="41030E9B" w14:textId="77777777" w:rsidR="00786575" w:rsidRDefault="00786575" w:rsidP="00786575">
      <w:pPr>
        <w:spacing w:line="360" w:lineRule="auto"/>
        <w:ind w:firstLine="709"/>
        <w:jc w:val="both"/>
      </w:pPr>
      <w:r>
        <w:t xml:space="preserve">    synonim «systemu prawnego», a  więc jako  pojęcie  zbiorcze obejmujące wszystkie </w:t>
      </w:r>
    </w:p>
    <w:p w14:paraId="2D541611" w14:textId="77777777" w:rsidR="00786575" w:rsidRDefault="00786575" w:rsidP="00786575">
      <w:pPr>
        <w:spacing w:line="360" w:lineRule="auto"/>
        <w:ind w:firstLine="709"/>
        <w:jc w:val="both"/>
      </w:pPr>
      <w:r>
        <w:t xml:space="preserve">    normy,  instytucje  i  wywodzące  się  z  prawa  systemy  wartości  i sposoby zacho-</w:t>
      </w:r>
    </w:p>
    <w:p w14:paraId="0DDF6824" w14:textId="385E76BB" w:rsidR="00786575" w:rsidRDefault="00786575" w:rsidP="00786575">
      <w:pPr>
        <w:spacing w:line="360" w:lineRule="auto"/>
        <w:ind w:firstLine="709"/>
        <w:jc w:val="both"/>
      </w:pPr>
      <w:r>
        <w:t xml:space="preserve">    wań”.</w:t>
      </w:r>
    </w:p>
    <w:p w14:paraId="4EAAD803" w14:textId="77777777" w:rsidR="00786575" w:rsidRPr="00FA5813" w:rsidRDefault="00786575" w:rsidP="00786575">
      <w:pPr>
        <w:spacing w:line="360" w:lineRule="auto"/>
        <w:ind w:firstLine="709"/>
        <w:jc w:val="both"/>
      </w:pPr>
      <w:r>
        <w:t>Po tych ogólnych uwagach tyczących się definicji kultury, prawa i kultury prawa spróbujmy skonstruować definicję kultury prawnej na gruncie personalizmu interdyscyplina</w:t>
      </w:r>
      <w:r>
        <w:t>r</w:t>
      </w:r>
      <w:r>
        <w:t>nego. Rozpocznijmy od ważnego spostrzeżenia: kultura jest szczególnym rodzajem personal</w:t>
      </w:r>
      <w:r>
        <w:t>i</w:t>
      </w:r>
      <w:r>
        <w:t>zacji rzeczywistości, w tym także jej aspektu prawnego. Zasadniczo można przyjąć dualne ujęcia personalistycznej kultury prawnej zgodnie z propozoiczną dystynkcją dwóch wymi</w:t>
      </w:r>
      <w:r>
        <w:t>a</w:t>
      </w:r>
      <w:r>
        <w:t>rów w człowieku: wymiaru indywidualnego (osobowego) i społecznego (jednostkowego). Pierwsze ujęcie tej kultury ogranicza się do analizy sfery indywidualnych postaw wokół pr</w:t>
      </w:r>
      <w:r>
        <w:t>a</w:t>
      </w:r>
      <w:r>
        <w:t>wa. Osoba ludzka  ze względu na jej przyrodzoną godność posiada suwerenne prawa, woln</w:t>
      </w:r>
      <w:r>
        <w:t>o</w:t>
      </w:r>
      <w:r>
        <w:t>ści i obowiązki, jej tylko przynależne, sformułowane w katalogu pozytywnych prawach po</w:t>
      </w:r>
      <w:r>
        <w:t>d</w:t>
      </w:r>
      <w:r>
        <w:t>stawowych zapodmiotowanych w  naturalnych (prepozytywnych) prawach osoby ludzkiej. Drugie ujęcie tej kultury zakłada traktowanie osoby w aspekcie jej relacji do społeczeństwa realizującego dobro wspólne. Społeczności, analogicznie do osoby ludzkiej, są nosicielami suwerennych praw i obowiązków ze względu na wyodrębnianą w personalizmie godność sp</w:t>
      </w:r>
      <w:r>
        <w:t>o</w:t>
      </w:r>
      <w:r>
        <w:t xml:space="preserve">łeczności jako bytów akcydentalnych. To drugie ujęcie wyznacza kulturze prawnej szerszy zakres, bowiem włącza w jej obszar zasady wspólnotowych działań prawnych, podstawowe instytucje prawno-polityczne. </w:t>
      </w:r>
    </w:p>
    <w:p w14:paraId="0B2DC801" w14:textId="77777777" w:rsidR="00786575" w:rsidRDefault="00786575" w:rsidP="00786575">
      <w:pPr>
        <w:spacing w:line="360" w:lineRule="auto"/>
        <w:ind w:firstLine="709"/>
        <w:jc w:val="center"/>
        <w:rPr>
          <w:b/>
        </w:rPr>
      </w:pPr>
      <w:r>
        <w:rPr>
          <w:b/>
        </w:rPr>
        <w:t>IV. Personalizacja prawa (na wybranych przykładach)</w:t>
      </w:r>
    </w:p>
    <w:p w14:paraId="765E8AD4" w14:textId="77777777" w:rsidR="00786575" w:rsidRDefault="00786575" w:rsidP="00786575">
      <w:pPr>
        <w:spacing w:line="360" w:lineRule="auto"/>
        <w:ind w:firstLine="709"/>
        <w:jc w:val="both"/>
      </w:pPr>
      <w:r>
        <w:t>Przedmiotem tej i dalszej refleksji będzie poszukiwanie i stopniowe wydobywanie tr</w:t>
      </w:r>
      <w:r>
        <w:t>e</w:t>
      </w:r>
      <w:r>
        <w:t>ści personalistycznych z katalogów praw człowieka zamieszczonych w uniwersalnych, regi</w:t>
      </w:r>
      <w:r>
        <w:t>o</w:t>
      </w:r>
      <w:r>
        <w:t>nalnych i lokalnych aktach prawnych. Naszym celem nie będzie szczegółowa, filozoficzn</w:t>
      </w:r>
      <w:r>
        <w:t>o</w:t>
      </w:r>
      <w:r>
        <w:t xml:space="preserve">prawna egzegeza tych tekstów, bowiem nie pozwalają na to ramy szkicu. Nasz cel jest o wiele skromniejszy. Realizując przyjęte założenia kognitywne, chcemy jedynie potwierdzić </w:t>
      </w:r>
      <w:r w:rsidRPr="004111E8">
        <w:rPr>
          <w:i/>
        </w:rPr>
        <w:t>cohab</w:t>
      </w:r>
      <w:r w:rsidRPr="004111E8">
        <w:rPr>
          <w:i/>
        </w:rPr>
        <w:t>i</w:t>
      </w:r>
      <w:r w:rsidRPr="004111E8">
        <w:rPr>
          <w:i/>
        </w:rPr>
        <w:t>tation</w:t>
      </w:r>
      <w:r>
        <w:t xml:space="preserve"> aksjologii personalistycznej z prawami człowieka interpretowanymi w myśl  klasycznej tradycji, jako</w:t>
      </w:r>
      <w:r w:rsidRPr="001B110E">
        <w:rPr>
          <w:i/>
        </w:rPr>
        <w:t xml:space="preserve"> ius</w:t>
      </w:r>
      <w:r>
        <w:t xml:space="preserve"> i </w:t>
      </w:r>
      <w:r w:rsidRPr="001B110E">
        <w:rPr>
          <w:i/>
        </w:rPr>
        <w:t>lex</w:t>
      </w:r>
      <w:r>
        <w:t xml:space="preserve">. W poszukiwaniach tych skoncentrujemy się na wybranych wcześniej przedstawionych zasadach personalizmu. </w:t>
      </w:r>
    </w:p>
    <w:p w14:paraId="2400D743" w14:textId="1AFDBC6D" w:rsidR="00786575" w:rsidRDefault="00786575" w:rsidP="00786575">
      <w:pPr>
        <w:spacing w:line="360" w:lineRule="auto"/>
        <w:ind w:firstLine="709"/>
        <w:jc w:val="both"/>
      </w:pPr>
      <w:r>
        <w:t xml:space="preserve"> Zasada personacji na gruncie dogmatycznoprawnym przybiera postać zasady godn</w:t>
      </w:r>
      <w:r>
        <w:t>o</w:t>
      </w:r>
      <w:r>
        <w:t>ści człowieka. Pojęcie to uzyskało charakter normatywny dopiero po II wojnie światowej, przede wszystkim za sprawą J. Maritaina, który był współtwórcą nowej deklaracji praw czł</w:t>
      </w:r>
      <w:r>
        <w:t>o</w:t>
      </w:r>
      <w:r>
        <w:t xml:space="preserve">wieka i gorącym orędownikiem jej szybkiego wprowadzenia w życie. </w:t>
      </w:r>
      <w:r w:rsidRPr="000A078A">
        <w:t xml:space="preserve">W swym dziele </w:t>
      </w:r>
      <w:r w:rsidRPr="000A078A">
        <w:rPr>
          <w:i/>
        </w:rPr>
        <w:t xml:space="preserve">Les droits de l’homme et la loi naturelle </w:t>
      </w:r>
      <w:r w:rsidRPr="000A078A">
        <w:t xml:space="preserve"> tak pisał: ,,[...] jest to rodzaj ewolucji intelektualnej i moralnej, która domaga się od nas, aby przywrócić filozofii prawdziwą naszą wiarę w go</w:t>
      </w:r>
      <w:r w:rsidRPr="000A078A">
        <w:t>d</w:t>
      </w:r>
      <w:r w:rsidRPr="000A078A">
        <w:t xml:space="preserve">ność osoby ludzkiej, w jej prawa, i aby odnaleźć autentyczne źródła tej wiary”. </w:t>
      </w:r>
      <w:r>
        <w:t>Zdanie Mar</w:t>
      </w:r>
      <w:r>
        <w:t>i</w:t>
      </w:r>
      <w:r>
        <w:t>taina:</w:t>
      </w:r>
      <w:r w:rsidRPr="0009770D">
        <w:t xml:space="preserve"> godność osoby ludzkiej jest fundamentem praw człowiek</w:t>
      </w:r>
      <w:r>
        <w:t>a, to swoista prowokacja dla badacza, skłaniająca do poszukiwania jego jurydycznej egzemplifikacji. A najważniejszym rezultatem owych poszukiwań jest świadomość, że zdanie to od ponad pół wieku trwa i o</w:t>
      </w:r>
      <w:r>
        <w:t>d</w:t>
      </w:r>
      <w:r>
        <w:t>najdujemy je m. in. w takich oto źródłach prawa:</w:t>
      </w:r>
    </w:p>
    <w:p w14:paraId="4F4EDCB6" w14:textId="5D0558FE" w:rsidR="00786575" w:rsidRDefault="00786575" w:rsidP="00786575">
      <w:pPr>
        <w:numPr>
          <w:ilvl w:val="0"/>
          <w:numId w:val="1"/>
        </w:numPr>
        <w:spacing w:line="360" w:lineRule="auto"/>
        <w:jc w:val="both"/>
      </w:pPr>
      <w:r>
        <w:t>umowach  międzynarodowych o zasięgu uniwersalnym – W preambule Karty N</w:t>
      </w:r>
      <w:r>
        <w:t>a</w:t>
      </w:r>
      <w:r>
        <w:t>rodów Zjednoczonych (1945)  podkreślona  została  konieczność  przywróceni wiary ,,w podstawowe prawa człowieka,  w  godność i wartość osoby ludzkiej”. W Powszechnej  Deklaracji  Praw Człowieka (1948), w art. 1,  czytamy: ,,Wszystkie  istoty ludzkie rodzą  się wolne i  równe w swej godności i prawach”.  W preamb</w:t>
      </w:r>
      <w:r>
        <w:t>u</w:t>
      </w:r>
      <w:r>
        <w:t xml:space="preserve">le Międzynarodowego  Paktu  Praw  Gospodarczych,  Socjalnych  i  Kulturalnych (1966) i Międzynarodowego   Paktu  Praw  Obywatelskich  i   Politycznych  (1966)  również odnajdujemy  sformułowanie odnoszące się  do ,,przyrodzonej  godności  oraz  równych  i  niezbywalnych  praw wszystkich członków rodziny/ wspólnoty ludzkiej”. </w:t>
      </w:r>
    </w:p>
    <w:p w14:paraId="1F7614E0" w14:textId="77777777" w:rsidR="00786575" w:rsidRDefault="00786575" w:rsidP="00786575">
      <w:pPr>
        <w:spacing w:line="360" w:lineRule="auto"/>
        <w:ind w:firstLine="709"/>
        <w:jc w:val="both"/>
      </w:pPr>
      <w:r>
        <w:t xml:space="preserve">2) konwencjach  międzynarodowych  o  zasięgu  regionalnym – W  zasadzie   siódmej  </w:t>
      </w:r>
    </w:p>
    <w:p w14:paraId="100B984A" w14:textId="77777777" w:rsidR="00786575" w:rsidRDefault="00786575" w:rsidP="00786575">
      <w:pPr>
        <w:spacing w:line="360" w:lineRule="auto"/>
        <w:ind w:firstLine="709"/>
        <w:jc w:val="both"/>
      </w:pPr>
      <w:r>
        <w:t xml:space="preserve">    Aktu  Końcowego  Konferencji Bezpieczeństwa  i   Współpracy   w  Europie (1975) </w:t>
      </w:r>
    </w:p>
    <w:p w14:paraId="27DE0A3A" w14:textId="77777777" w:rsidR="00786575" w:rsidRDefault="00786575" w:rsidP="00786575">
      <w:pPr>
        <w:spacing w:line="360" w:lineRule="auto"/>
        <w:ind w:firstLine="709"/>
        <w:jc w:val="both"/>
      </w:pPr>
      <w:r>
        <w:t xml:space="preserve">     podkreślono, że  państwa uczestniczące  będą  ,,popierać  i  zachęcać  do   efektyw-</w:t>
      </w:r>
    </w:p>
    <w:p w14:paraId="0C3B2785" w14:textId="77777777" w:rsidR="00786575" w:rsidRDefault="00786575" w:rsidP="00786575">
      <w:pPr>
        <w:spacing w:line="360" w:lineRule="auto"/>
        <w:ind w:firstLine="709"/>
        <w:jc w:val="both"/>
      </w:pPr>
      <w:r>
        <w:t xml:space="preserve">     nego korzystania z obywatelskich,  politycznych, ekonomicznych, socjalnych,  kul-</w:t>
      </w:r>
    </w:p>
    <w:p w14:paraId="5467C1A0" w14:textId="77777777" w:rsidR="00786575" w:rsidRDefault="00786575" w:rsidP="00786575">
      <w:pPr>
        <w:spacing w:line="360" w:lineRule="auto"/>
        <w:ind w:firstLine="709"/>
        <w:jc w:val="both"/>
      </w:pPr>
      <w:r>
        <w:t xml:space="preserve">     turalnych  oraz  innych   praw  i  wolności, które wynikają […] z przyrodzonej god-</w:t>
      </w:r>
    </w:p>
    <w:p w14:paraId="2B7C0CB0" w14:textId="18AE1B64" w:rsidR="00786575" w:rsidRDefault="00786575" w:rsidP="00786575">
      <w:pPr>
        <w:spacing w:line="360" w:lineRule="auto"/>
        <w:ind w:firstLine="709"/>
        <w:jc w:val="both"/>
      </w:pPr>
      <w:r>
        <w:t xml:space="preserve">     ności osoby ludzkiej”. W preambule  Deklaracji Podstawowych Praw  i Wolności </w:t>
      </w:r>
    </w:p>
    <w:p w14:paraId="50FF958D" w14:textId="77777777" w:rsidR="00786575" w:rsidRDefault="00786575" w:rsidP="00786575">
      <w:pPr>
        <w:spacing w:line="360" w:lineRule="auto"/>
        <w:ind w:firstLine="709"/>
        <w:jc w:val="both"/>
      </w:pPr>
      <w:r>
        <w:t xml:space="preserve">    (1989)  czytamy: ,,jest  niezbędne  dla  Europy  potwierdzenie  istnienia   wspólnoty  </w:t>
      </w:r>
    </w:p>
    <w:p w14:paraId="7819255A" w14:textId="6A5D9B80" w:rsidR="00786575" w:rsidRDefault="00786575" w:rsidP="00786575">
      <w:pPr>
        <w:spacing w:line="360" w:lineRule="auto"/>
        <w:ind w:firstLine="709"/>
        <w:jc w:val="right"/>
      </w:pPr>
      <w:r>
        <w:t xml:space="preserve">    prawa  opartej  na  poszanowaniu  godności  ludzkiej   i  praw  podstawowych”. W </w:t>
      </w:r>
    </w:p>
    <w:p w14:paraId="77BAD372" w14:textId="77777777" w:rsidR="00786575" w:rsidRDefault="00786575" w:rsidP="00786575">
      <w:pPr>
        <w:spacing w:line="360" w:lineRule="auto"/>
        <w:ind w:firstLine="709"/>
        <w:jc w:val="both"/>
      </w:pPr>
      <w:r>
        <w:t xml:space="preserve">     tym samym akcie prawnym, w art. 1, stwierdzono: ,,godność   ludzka  jest  nienaru-</w:t>
      </w:r>
    </w:p>
    <w:p w14:paraId="554EB007" w14:textId="1F63C7C8" w:rsidR="00786575" w:rsidRDefault="00B77D2A" w:rsidP="00786575">
      <w:pPr>
        <w:spacing w:line="360" w:lineRule="auto"/>
        <w:ind w:firstLine="709"/>
        <w:jc w:val="right"/>
      </w:pPr>
      <w:r>
        <w:t xml:space="preserve">    </w:t>
      </w:r>
      <w:r w:rsidR="00786575">
        <w:t xml:space="preserve">szalna”. Idąc  za  K. Complakiem   pojęcie godności   człowieka można obecnie </w:t>
      </w:r>
    </w:p>
    <w:p w14:paraId="46C3E0DF" w14:textId="77777777" w:rsidR="00786575" w:rsidRDefault="00786575" w:rsidP="00786575">
      <w:pPr>
        <w:spacing w:line="360" w:lineRule="auto"/>
        <w:ind w:firstLine="709"/>
        <w:jc w:val="both"/>
      </w:pPr>
      <w:r>
        <w:t xml:space="preserve">     potraktować jako kategorię doktrynalno-prawną, której   konotacja treściowa odno-</w:t>
      </w:r>
    </w:p>
    <w:p w14:paraId="6396AD2A" w14:textId="77777777" w:rsidR="00786575" w:rsidRDefault="00786575" w:rsidP="00786575">
      <w:pPr>
        <w:spacing w:line="360" w:lineRule="auto"/>
        <w:ind w:firstLine="709"/>
        <w:jc w:val="both"/>
      </w:pPr>
      <w:r>
        <w:t xml:space="preserve">     si   się   do    praw   ,,godnościowoczłowieczych”   zamieszczonych w  Karcie Praw       </w:t>
      </w:r>
    </w:p>
    <w:p w14:paraId="267E2284" w14:textId="77777777" w:rsidR="00786575" w:rsidRDefault="00786575" w:rsidP="00786575">
      <w:pPr>
        <w:spacing w:line="360" w:lineRule="auto"/>
        <w:ind w:firstLine="709"/>
        <w:jc w:val="both"/>
      </w:pPr>
      <w:r>
        <w:t xml:space="preserve">     Podstawowych  UE  w rozdziale I zatytułowanym ,,Godność” (art.1-5) . Są to : nie-</w:t>
      </w:r>
    </w:p>
    <w:p w14:paraId="4FFED7E7" w14:textId="77777777" w:rsidR="00786575" w:rsidRDefault="00786575" w:rsidP="00786575">
      <w:pPr>
        <w:spacing w:line="360" w:lineRule="auto"/>
        <w:ind w:firstLine="709"/>
        <w:jc w:val="both"/>
      </w:pPr>
      <w:r>
        <w:t xml:space="preserve">     naruszalność godności  ludzkiej,  prawo  do życia, prawo do integralności osoby lu-</w:t>
      </w:r>
    </w:p>
    <w:p w14:paraId="7EAD8A5D" w14:textId="3133EDCD" w:rsidR="00786575" w:rsidRDefault="00786575" w:rsidP="00786575">
      <w:pPr>
        <w:spacing w:line="360" w:lineRule="auto"/>
        <w:ind w:firstLine="709"/>
        <w:jc w:val="both"/>
      </w:pPr>
      <w:r>
        <w:t xml:space="preserve">     dzkiej, zakaz tortur, zakaz niewolnictwa.</w:t>
      </w:r>
    </w:p>
    <w:p w14:paraId="62A1FCA2" w14:textId="77777777" w:rsidR="00786575" w:rsidRDefault="00786575" w:rsidP="00786575">
      <w:pPr>
        <w:spacing w:line="360" w:lineRule="auto"/>
        <w:ind w:firstLine="709"/>
      </w:pPr>
      <w:r>
        <w:t>3) konstytucjach europejskich – W Konstytucji niemieckiej z 23 maja 1949 r. w art. 1</w:t>
      </w:r>
    </w:p>
    <w:p w14:paraId="7B65AD96" w14:textId="77777777" w:rsidR="00786575" w:rsidRDefault="00786575" w:rsidP="00786575">
      <w:pPr>
        <w:spacing w:line="360" w:lineRule="auto"/>
        <w:jc w:val="both"/>
      </w:pPr>
      <w:r>
        <w:t xml:space="preserve">                ust. 1, odnajdujemy  następujące  sformułowanie: ,,Godność człowieka jest nienaru-</w:t>
      </w:r>
    </w:p>
    <w:p w14:paraId="06C1526D" w14:textId="77777777" w:rsidR="00786575" w:rsidRDefault="00786575" w:rsidP="00786575">
      <w:pPr>
        <w:spacing w:line="360" w:lineRule="auto"/>
        <w:ind w:firstLine="709"/>
        <w:jc w:val="both"/>
      </w:pPr>
      <w:r>
        <w:t xml:space="preserve">    szalna. Poszanowanie  jej  i  ochrona  jest obowiązkiem  wszystkich władz państwo-</w:t>
      </w:r>
    </w:p>
    <w:p w14:paraId="4183C7AF" w14:textId="38EDF19C" w:rsidR="00786575" w:rsidRDefault="00786575" w:rsidP="00786575">
      <w:pPr>
        <w:spacing w:line="360" w:lineRule="auto"/>
        <w:ind w:firstLine="709"/>
        <w:jc w:val="both"/>
      </w:pPr>
      <w:r>
        <w:t xml:space="preserve">    wych”. Konstytucja RP z 1997 r. w art. 30 zd. 1, określa przyrodzoną i niezbywal-</w:t>
      </w:r>
    </w:p>
    <w:p w14:paraId="7790653B" w14:textId="77777777" w:rsidR="00786575" w:rsidRDefault="00786575" w:rsidP="00786575">
      <w:pPr>
        <w:spacing w:line="360" w:lineRule="auto"/>
        <w:ind w:firstLine="709"/>
        <w:jc w:val="both"/>
      </w:pPr>
      <w:r>
        <w:t xml:space="preserve">    ną  godność  człowieka  jako  źródło  praw i wolności człowieka i obywatela. Nadto</w:t>
      </w:r>
    </w:p>
    <w:p w14:paraId="79886E68" w14:textId="77777777" w:rsidR="00786575" w:rsidRDefault="00786575" w:rsidP="00786575">
      <w:pPr>
        <w:spacing w:line="360" w:lineRule="auto"/>
        <w:ind w:firstLine="709"/>
        <w:jc w:val="both"/>
      </w:pPr>
      <w:r>
        <w:t xml:space="preserve">    odwołanie  do  godności  człowieka  znajduje  się  także  w  preambule  i  w art. 233</w:t>
      </w:r>
    </w:p>
    <w:p w14:paraId="0200943B" w14:textId="77777777" w:rsidR="00786575" w:rsidRDefault="00786575" w:rsidP="00786575">
      <w:pPr>
        <w:spacing w:line="360" w:lineRule="auto"/>
        <w:ind w:firstLine="709"/>
        <w:jc w:val="both"/>
      </w:pPr>
      <w:r>
        <w:t xml:space="preserve">   Konstytucji   RP.  Konstytucja  hiszpańska  z  1978 r.  w  art.  10  ust.  1,   podkreśla:</w:t>
      </w:r>
    </w:p>
    <w:p w14:paraId="6B434611" w14:textId="77777777" w:rsidR="00786575" w:rsidRDefault="00786575" w:rsidP="00786575">
      <w:pPr>
        <w:spacing w:line="360" w:lineRule="auto"/>
        <w:ind w:firstLine="709"/>
      </w:pPr>
      <w:r>
        <w:t xml:space="preserve">   ,,godność człowieka, nienaruszalne  prawa  człowieka, swobodny  rozwój osobowo-</w:t>
      </w:r>
    </w:p>
    <w:p w14:paraId="0EE3E195" w14:textId="77777777" w:rsidR="00786575" w:rsidRDefault="00786575" w:rsidP="00786575">
      <w:pPr>
        <w:spacing w:line="360" w:lineRule="auto"/>
        <w:ind w:firstLine="709"/>
        <w:jc w:val="both"/>
      </w:pPr>
      <w:r>
        <w:t xml:space="preserve">   ści, poszanowanie  prawa  stanowionego  i   praw  innych  stanowią  podstawy  ładu</w:t>
      </w:r>
    </w:p>
    <w:p w14:paraId="5751CECB" w14:textId="51F41301" w:rsidR="00786575" w:rsidRDefault="00786575" w:rsidP="00786575">
      <w:pPr>
        <w:spacing w:line="360" w:lineRule="auto"/>
        <w:ind w:firstLine="709"/>
        <w:jc w:val="both"/>
      </w:pPr>
      <w:r>
        <w:t xml:space="preserve">   politycznego  i  pokoju  społecznego”.   Z  kolei  włoska   konstytucja   proklamuje</w:t>
      </w:r>
    </w:p>
    <w:p w14:paraId="78772E64" w14:textId="77777777" w:rsidR="00786575" w:rsidRDefault="00786575" w:rsidP="00786575">
      <w:pPr>
        <w:spacing w:line="360" w:lineRule="auto"/>
        <w:ind w:firstLine="709"/>
        <w:jc w:val="both"/>
      </w:pPr>
      <w:r>
        <w:t xml:space="preserve">   nie   tylko  godność  ludzką  (art. 41 ust. 2  pośrednio art. 2), ale także ,,godność spo-  </w:t>
      </w:r>
    </w:p>
    <w:p w14:paraId="0F3B9AB5" w14:textId="1B89F4EB" w:rsidR="00786575" w:rsidRDefault="00786575" w:rsidP="00786575">
      <w:pPr>
        <w:spacing w:line="360" w:lineRule="auto"/>
        <w:ind w:firstLine="709"/>
        <w:jc w:val="both"/>
      </w:pPr>
      <w:r>
        <w:t xml:space="preserve">   łeczną  wszystkich  obywateli” (art.3 ust.1).  </w:t>
      </w:r>
      <w:r w:rsidRPr="00E95B68">
        <w:t xml:space="preserve"> </w:t>
      </w:r>
      <w:r>
        <w:t>Ponadto normatywną treść tej idei za-</w:t>
      </w:r>
    </w:p>
    <w:p w14:paraId="7CAAC646" w14:textId="77777777" w:rsidR="00786575" w:rsidRDefault="00786575" w:rsidP="00786575">
      <w:pPr>
        <w:spacing w:line="360" w:lineRule="auto"/>
        <w:ind w:firstLine="709"/>
        <w:jc w:val="both"/>
      </w:pPr>
      <w:r>
        <w:t xml:space="preserve">   wierają m. in. konstytucje:  Grecji  (art.2),  Portugali  (art.1),  Szwecji  (art.2),  Belgii  </w:t>
      </w:r>
    </w:p>
    <w:p w14:paraId="3E85784C" w14:textId="77777777" w:rsidR="00786575" w:rsidRDefault="00786575" w:rsidP="00786575">
      <w:pPr>
        <w:spacing w:line="360" w:lineRule="auto"/>
        <w:ind w:firstLine="709"/>
        <w:jc w:val="both"/>
      </w:pPr>
      <w:r>
        <w:t xml:space="preserve">   (art.23), Szwajcarii (art.7), Izraela (art.1 ),Czech (preambuła), Rosji (art.21), Meksy-</w:t>
      </w:r>
    </w:p>
    <w:p w14:paraId="2164C1AB" w14:textId="77E8B4B8" w:rsidR="00786575" w:rsidRDefault="00786575" w:rsidP="00786575">
      <w:pPr>
        <w:spacing w:line="360" w:lineRule="auto"/>
        <w:ind w:firstLine="709"/>
        <w:jc w:val="both"/>
      </w:pPr>
      <w:r>
        <w:t xml:space="preserve">   ku (art.3.1), Republiki Południowej Afryki (sekcja 7.1 i 10).</w:t>
      </w:r>
    </w:p>
    <w:p w14:paraId="31669098" w14:textId="30F6ADC0" w:rsidR="00786575" w:rsidRDefault="00786575" w:rsidP="00786575">
      <w:pPr>
        <w:spacing w:line="360" w:lineRule="auto"/>
        <w:ind w:firstLine="709"/>
        <w:jc w:val="both"/>
      </w:pPr>
      <w:r>
        <w:t>Wyrażenie ,,zasada personacji społeczności” o wyraźnym zabarwieniu aksjologic</w:t>
      </w:r>
      <w:r>
        <w:t>z</w:t>
      </w:r>
      <w:r>
        <w:t>nym recypowane do porządku normatywnego przybiera poprawniejszą szatę słowną - ,, zas</w:t>
      </w:r>
      <w:r>
        <w:t>a</w:t>
      </w:r>
      <w:r>
        <w:t>da godności ludzkich wspólnot”. O zasadzie tej interesująco pisze S. Retterer, profesor Un</w:t>
      </w:r>
      <w:r>
        <w:t>i</w:t>
      </w:r>
      <w:r>
        <w:t xml:space="preserve">wersytetu Paryskiego, w artykule zatytułowanym </w:t>
      </w:r>
      <w:r>
        <w:rPr>
          <w:i/>
        </w:rPr>
        <w:t>Pojęcie godności w obowiązującym i prz</w:t>
      </w:r>
      <w:r>
        <w:rPr>
          <w:i/>
        </w:rPr>
        <w:t>y</w:t>
      </w:r>
      <w:r>
        <w:rPr>
          <w:i/>
        </w:rPr>
        <w:t>szłym prawie wspólnotowym</w:t>
      </w:r>
      <w:r w:rsidR="005C1130">
        <w:t xml:space="preserve"> (w zbiorowej pracy K. Complaka)</w:t>
      </w:r>
      <w:r>
        <w:t>. Autorka rozpatruje z pe</w:t>
      </w:r>
      <w:r>
        <w:t>r</w:t>
      </w:r>
      <w:r>
        <w:t>spektywy prawa wspólnotowego kwestię godności osoby ludzkiej i dość krytycznie uzasadnia jej istnienie w prawie unijnym i francuskim</w:t>
      </w:r>
      <w:r>
        <w:rPr>
          <w:rStyle w:val="Odwoanieprzypisudolnego"/>
        </w:rPr>
        <w:footnoteReference w:id="17"/>
      </w:r>
      <w:r>
        <w:t>. Opowiada się za traktowaniem godności czł</w:t>
      </w:r>
      <w:r>
        <w:t>o</w:t>
      </w:r>
      <w:r>
        <w:t>wieka jako fu</w:t>
      </w:r>
      <w:r>
        <w:t>n</w:t>
      </w:r>
      <w:r>
        <w:t>damentalnej zasady prawa wspólnotowego. Oceniając zakres przedmiotowy tego pojęcia w prawie pozytywnym, UE dostrzega jego zastosowanie nie tylko w odniesieniu do wyodrębnionych kategorii osób ludzkich (kobiet i pracowników)</w:t>
      </w:r>
      <w:r>
        <w:rPr>
          <w:rStyle w:val="Odwoanieprzypisudolnego"/>
        </w:rPr>
        <w:footnoteReference w:id="18"/>
      </w:r>
      <w:r>
        <w:t>, ale również do jedn</w:t>
      </w:r>
      <w:r>
        <w:t>o</w:t>
      </w:r>
      <w:r>
        <w:t>stek organiz</w:t>
      </w:r>
      <w:r>
        <w:t>a</w:t>
      </w:r>
      <w:r>
        <w:t>cyjnych. Rozszerzenie pojęcia godności z osoby na wspólnoty, społeczności ludzkie pozwala francuskiej badaczce konsekwentnie budować dwuaspektową koncepcję godności jednostek organizacyjnych w obszarze pozytywnego prawa wspólnotowego. Inst</w:t>
      </w:r>
      <w:r>
        <w:t>y</w:t>
      </w:r>
      <w:r>
        <w:t>tucjonalny aspekt owej godności S. Retterer obrazuje przykładem związanym z ochroną go</w:t>
      </w:r>
      <w:r>
        <w:t>d</w:t>
      </w:r>
      <w:r>
        <w:t>ności instytucji-organu Europolu</w:t>
      </w:r>
      <w:r>
        <w:rPr>
          <w:rStyle w:val="Odwoanieprzypisudolnego"/>
        </w:rPr>
        <w:footnoteReference w:id="19"/>
      </w:r>
      <w:r>
        <w:t>. Natomiast funkcjonalny aspekt godności jednostek org</w:t>
      </w:r>
      <w:r>
        <w:t>a</w:t>
      </w:r>
      <w:r>
        <w:t>nizacyjnych ilustruje dwoma przykładami: godności urzędu służby cywilnej i godności prze</w:t>
      </w:r>
      <w:r>
        <w:t>d</w:t>
      </w:r>
      <w:r>
        <w:t>siębiorstwa</w:t>
      </w:r>
      <w:r>
        <w:rPr>
          <w:rStyle w:val="Odwoanieprzypisudolnego"/>
        </w:rPr>
        <w:footnoteReference w:id="20"/>
      </w:r>
      <w:r>
        <w:t>.</w:t>
      </w:r>
    </w:p>
    <w:p w14:paraId="46C5D808" w14:textId="77777777" w:rsidR="00786575" w:rsidRDefault="00786575" w:rsidP="00786575">
      <w:pPr>
        <w:spacing w:line="360" w:lineRule="auto"/>
        <w:ind w:firstLine="709"/>
        <w:jc w:val="both"/>
      </w:pPr>
      <w:r>
        <w:t>Zasada pomocniczości (subsydiarności) staje się w ostatnim czasie podstawową d</w:t>
      </w:r>
      <w:r>
        <w:t>e</w:t>
      </w:r>
      <w:r>
        <w:t xml:space="preserve">terminantą państwa prawa. Zyskuje coraz większe uznanie wśród prawników (filozofów i teoretyków prawa, konstytucjonalistów, administratywistów i specjalistów z zakresu prawa międzynarodowego i unijnego), jak i filozofów, teologów, socjologów. Proces odwoływania się do tej zasady w umowach międzynarodowych został zapoczątkowany na szeroką skalę także po II wojnie światowej. Jej źródeł poszukuje się już w pismach św. Augustyna i św. Tomasza. Bezpośrednio natomiast wywodzi się tę zasadę z doktryny społecznej Kościoła – z encyklik papieskich: </w:t>
      </w:r>
      <w:r>
        <w:rPr>
          <w:i/>
        </w:rPr>
        <w:t>Rerum novarum</w:t>
      </w:r>
      <w:r>
        <w:t xml:space="preserve"> Leona XIII (1891), </w:t>
      </w:r>
      <w:r>
        <w:rPr>
          <w:i/>
        </w:rPr>
        <w:t>Quadragesimo anno</w:t>
      </w:r>
      <w:r>
        <w:t xml:space="preserve"> Piusa XI (1931), </w:t>
      </w:r>
      <w:r>
        <w:rPr>
          <w:i/>
        </w:rPr>
        <w:t xml:space="preserve">Pacem in terris </w:t>
      </w:r>
      <w:r>
        <w:t xml:space="preserve">Jana XXIII (1963) i </w:t>
      </w:r>
      <w:r>
        <w:rPr>
          <w:i/>
        </w:rPr>
        <w:t xml:space="preserve">Mater et magistra </w:t>
      </w:r>
      <w:r>
        <w:t>Jana XXIII (1961). Zapomina się o jej przejęciu od filozofii personalizmu w eksplikacji katolickiej. Przecież to Maritain zyskał opinię prekursora soborowego humanizmu i był tym wyróżnionym, świeckim ucz</w:t>
      </w:r>
      <w:r>
        <w:t>o</w:t>
      </w:r>
      <w:r>
        <w:t xml:space="preserve">nym, który w dniu zakończenia obrad </w:t>
      </w:r>
      <w:r>
        <w:rPr>
          <w:i/>
        </w:rPr>
        <w:t xml:space="preserve">Vaticanum II </w:t>
      </w:r>
      <w:r>
        <w:t>(1965) odebrał wraz ze S. Swieżawskim uroczyste orędzie Pawła VI skierowane do intelektualistów świata. Inspirowana duchem pe</w:t>
      </w:r>
      <w:r>
        <w:t>r</w:t>
      </w:r>
      <w:r>
        <w:t xml:space="preserve">sonalizmu zasada subsydiarności, uznająca prymat osoby ludzkiej oraz pomocniczy charakter instytucji społecznych tak oto brzmi w encyklice </w:t>
      </w:r>
      <w:r>
        <w:rPr>
          <w:i/>
        </w:rPr>
        <w:t>Quadragesimo anno</w:t>
      </w:r>
      <w:r>
        <w:t>: ,,Nienaruszalnym i niezmiennym pozostaje owo najwyższe prawo filozofii społecznej: co jednostka z własnej inicjatywy i własnymi siłami może zdziałać, tego nie wolno jej wydzierać na rzecz społecze</w:t>
      </w:r>
      <w:r>
        <w:t>ń</w:t>
      </w:r>
      <w:r>
        <w:t xml:space="preserve">stwa; podobnie niesprawiedliwością, szkodą społeczną i zakłóceniem ustroju jest zabieranie mniejszym i niższym społecznościom tych zadań, które mogą spełnić i przekazywanie ich wyższym. Każda akcja społeczna ze swego celu i ze swej natury ma charakter pomocniczy; winna pomagać członkom organizmu społecznego, a nie niszczyć ich lub wchłaniać”. </w:t>
      </w:r>
    </w:p>
    <w:p w14:paraId="2EFD8951" w14:textId="14616873" w:rsidR="00786575" w:rsidRDefault="00786575" w:rsidP="00786575">
      <w:pPr>
        <w:spacing w:line="360" w:lineRule="auto"/>
        <w:ind w:firstLine="709"/>
        <w:jc w:val="both"/>
      </w:pPr>
      <w:r>
        <w:t>Prakseologiczno-normatywne zastosowanie zasady subsydiarności odnajdujemy w E</w:t>
      </w:r>
      <w:r>
        <w:t>u</w:t>
      </w:r>
      <w:r>
        <w:t>ropejskiej Karcie Samorządu Terytorialnego (z 1985)</w:t>
      </w:r>
      <w:r>
        <w:rPr>
          <w:rStyle w:val="Odwoanieprzypisudolnego"/>
        </w:rPr>
        <w:footnoteReference w:id="21"/>
      </w:r>
      <w:r>
        <w:t>, Traktacie o Unii Europejskiej z Maastricht (z 1992), w projekcie Konstytucji UE (z 2004)</w:t>
      </w:r>
      <w:r>
        <w:rPr>
          <w:rStyle w:val="Odwoanieprzypisudolnego"/>
        </w:rPr>
        <w:footnoteReference w:id="22"/>
      </w:r>
      <w:r>
        <w:t>, w których to dokumentach uzn</w:t>
      </w:r>
      <w:r>
        <w:t>a</w:t>
      </w:r>
      <w:r>
        <w:t xml:space="preserve">na jest ta zasada za jeden z najważniejszych fundamentów ustroju UE. </w:t>
      </w:r>
    </w:p>
    <w:p w14:paraId="4F89BD2B" w14:textId="77777777" w:rsidR="00786575" w:rsidRDefault="00786575" w:rsidP="00786575">
      <w:pPr>
        <w:spacing w:line="360" w:lineRule="auto"/>
        <w:ind w:firstLine="709"/>
        <w:jc w:val="both"/>
      </w:pPr>
      <w:r>
        <w:t>A oto, jak brzmi jej transpozycja do umowy międzynarodowej Europejskiej Karty Samorządu Terytorialnego: ,,Generalnie odpowiedzialność za sprawy publiczne powinny p</w:t>
      </w:r>
      <w:r>
        <w:t>o</w:t>
      </w:r>
      <w:r>
        <w:t>nosić przede wszystkim te organy władzy, które znajdują się najbliżej obywateli. Powierzając te funkcje innemu organowi władzy, należy uwzględnić zakres i charakter zadania oraz w</w:t>
      </w:r>
      <w:r>
        <w:t>y</w:t>
      </w:r>
      <w:r>
        <w:t>mogi efektywności i oszczędności”</w:t>
      </w:r>
      <w:r>
        <w:rPr>
          <w:rStyle w:val="Odwoanieprzypisudolnego"/>
        </w:rPr>
        <w:footnoteReference w:id="23"/>
      </w:r>
      <w:r>
        <w:t xml:space="preserve">. </w:t>
      </w:r>
    </w:p>
    <w:p w14:paraId="722B052B" w14:textId="77777777" w:rsidR="00786575" w:rsidRDefault="00786575" w:rsidP="00786575">
      <w:pPr>
        <w:spacing w:line="360" w:lineRule="auto"/>
        <w:ind w:firstLine="709"/>
        <w:jc w:val="both"/>
      </w:pPr>
      <w:r>
        <w:t>Pomocniczość w Unii Europejskiej najogólniej formułuje art. 3B Traktatu z Maastricht głosząc: ,,Wspólnota działa w granicach przyznanych jej niniejszym traktatem kompetencji i celów, w dziedzinach, które nie należą do jej wyłącznego zakresu działania. Wspólnota ingeruje tylko zgodnie z zasadą pomocniczości i w takim zakresie, w jakim cele planowanego działania nie mogą być urzeczywistnione w sposób dostateczny przez państwa członkowskie, a mogą być ze względu na ten zasięg lub skutki lepiej urzeczywistnione na szczeblu wspólnotowym. Działalność Wspólnoty nie wykracza więc poza to, co jest niezbę</w:t>
      </w:r>
      <w:r>
        <w:t>d</w:t>
      </w:r>
      <w:r>
        <w:t>ne do osiągnięcia celów niniejszego traktatu”.</w:t>
      </w:r>
    </w:p>
    <w:p w14:paraId="777227B2" w14:textId="77777777" w:rsidR="00786575" w:rsidRDefault="00786575" w:rsidP="00786575">
      <w:pPr>
        <w:spacing w:line="360" w:lineRule="auto"/>
        <w:ind w:firstLine="709"/>
        <w:jc w:val="both"/>
      </w:pPr>
      <w:r>
        <w:t>Zasada subsydiarności wprowadzona została także do Konstytucji RP. W preambule Ustawy Zasadniczej w końcowym fragmencie czytamy: ,,[…] my, Naród Polski, wszyscy obywatele Rzeczypospolitej, […] ustanawiamy Konstytucję Rzeczypospolitej jako prawa podstawowe dla państwa oparte na poszanowaniu wolności i sprawiedliwości, współdziałaniu władz, dialogu społecznym oraz na zasadzie pomocniczości umacniającej uprawnienia ob</w:t>
      </w:r>
      <w:r>
        <w:t>y</w:t>
      </w:r>
      <w:r>
        <w:t>wateli i ich wspólnot”.</w:t>
      </w:r>
    </w:p>
    <w:p w14:paraId="04BEEF12" w14:textId="1974A361" w:rsidR="00786575" w:rsidRDefault="00786575" w:rsidP="00786575">
      <w:pPr>
        <w:spacing w:line="360" w:lineRule="auto"/>
        <w:ind w:firstLine="709"/>
        <w:jc w:val="both"/>
      </w:pPr>
      <w:r>
        <w:t xml:space="preserve">Wyłaniający się z przeprowadzonych analiz  fragmentaryczny obraz personalizacji prawa czy też </w:t>
      </w:r>
      <w:r>
        <w:rPr>
          <w:i/>
        </w:rPr>
        <w:t xml:space="preserve">à rebours </w:t>
      </w:r>
      <w:r>
        <w:t>jurydyzacji personalizmu wydaje się całkiem zadowalający. Person</w:t>
      </w:r>
      <w:r>
        <w:t>a</w:t>
      </w:r>
      <w:r>
        <w:t>lizm jako teoria naukowa i pragmatyka osoby ludzkiej posiada rozliczne walory kognitywne, wolnościowe, eksplikatywne, prakseologiczne czy wręcz normatywne. Na gruncie nauki po</w:t>
      </w:r>
      <w:r>
        <w:t>l</w:t>
      </w:r>
      <w:r w:rsidR="009903A9">
        <w:t>skiej  jako kierunek filozoficznym</w:t>
      </w:r>
      <w:r>
        <w:t xml:space="preserve"> może być odnoszony nie tylko do psychologii, pedagog</w:t>
      </w:r>
      <w:r>
        <w:t>i</w:t>
      </w:r>
      <w:r>
        <w:t>ki, ale także do prawa i innych nauk szczegółowych. Jednocześnie personalizm jako system otwarty i z założenia niedokończony ubogaca się i poszerza w zetknięciu z każdą os</w:t>
      </w:r>
      <w:r>
        <w:t>o</w:t>
      </w:r>
      <w:r>
        <w:t>bą</w:t>
      </w:r>
      <w:r w:rsidR="009903A9">
        <w:t xml:space="preserve">. </w:t>
      </w:r>
      <w:r>
        <w:t xml:space="preserve">  Paul Ricoeur powiedział: ,,Kiedy umiera personalizm, wraca osoba”. Uważał on b</w:t>
      </w:r>
      <w:r>
        <w:t>o</w:t>
      </w:r>
      <w:r>
        <w:t>wiem, że personalizm przegrał w batalii terminologicznej o człowieka z postmodernizmem, natomiast pojęcie osoby nic nie utraciło ze swej siły w walce o szeroko pojętą ochronę praw człowieka.</w:t>
      </w:r>
    </w:p>
    <w:p w14:paraId="2BE64228" w14:textId="77777777" w:rsidR="00786575" w:rsidRDefault="00786575" w:rsidP="00786575">
      <w:pPr>
        <w:spacing w:line="360" w:lineRule="auto"/>
        <w:ind w:firstLine="709"/>
        <w:jc w:val="both"/>
      </w:pPr>
    </w:p>
    <w:p w14:paraId="3B84D059" w14:textId="31636D12" w:rsidR="00F02E75" w:rsidRDefault="00E04AAD">
      <w:pPr>
        <w:rPr>
          <w:b/>
        </w:rPr>
      </w:pPr>
      <w:r w:rsidRPr="00E04AAD">
        <w:rPr>
          <w:b/>
        </w:rPr>
        <w:t>Literatura</w:t>
      </w:r>
    </w:p>
    <w:p w14:paraId="0D7F77E5" w14:textId="77777777" w:rsidR="006F66A8" w:rsidRPr="00E04AAD" w:rsidRDefault="006F66A8">
      <w:pPr>
        <w:rPr>
          <w:b/>
        </w:rPr>
      </w:pPr>
    </w:p>
    <w:p w14:paraId="41F453B3" w14:textId="44F6C016" w:rsidR="00F63155" w:rsidRPr="00E27A89" w:rsidRDefault="00F63155" w:rsidP="00E27A89">
      <w:pPr>
        <w:pStyle w:val="Tekstprzypisudolnego"/>
        <w:rPr>
          <w:sz w:val="22"/>
          <w:szCs w:val="22"/>
        </w:rPr>
      </w:pPr>
      <w:r w:rsidRPr="00E27A89">
        <w:rPr>
          <w:sz w:val="22"/>
          <w:szCs w:val="22"/>
        </w:rPr>
        <w:t xml:space="preserve">Cz. S. Bartnik, </w:t>
      </w:r>
      <w:r w:rsidRPr="00E27A89">
        <w:rPr>
          <w:i/>
          <w:sz w:val="22"/>
          <w:szCs w:val="22"/>
        </w:rPr>
        <w:t xml:space="preserve">Personalizm, </w:t>
      </w:r>
      <w:r w:rsidRPr="00E27A89">
        <w:rPr>
          <w:sz w:val="22"/>
          <w:szCs w:val="22"/>
        </w:rPr>
        <w:t>Lublin 2000</w:t>
      </w:r>
    </w:p>
    <w:p w14:paraId="4002651C" w14:textId="10667BBC" w:rsidR="00C7040B" w:rsidRPr="00E27A89" w:rsidRDefault="00F63155" w:rsidP="00E27A89">
      <w:pPr>
        <w:pStyle w:val="Tekstprzypisudolnego"/>
        <w:jc w:val="both"/>
        <w:rPr>
          <w:sz w:val="22"/>
          <w:szCs w:val="22"/>
        </w:rPr>
      </w:pPr>
      <w:r w:rsidRPr="00E27A89">
        <w:rPr>
          <w:sz w:val="22"/>
          <w:szCs w:val="22"/>
        </w:rPr>
        <w:t xml:space="preserve">B. Gacka, </w:t>
      </w:r>
      <w:r w:rsidRPr="00E27A89">
        <w:rPr>
          <w:i/>
          <w:sz w:val="22"/>
          <w:szCs w:val="22"/>
        </w:rPr>
        <w:t>Personalizm amerykański</w:t>
      </w:r>
      <w:r w:rsidRPr="00E27A89">
        <w:rPr>
          <w:sz w:val="22"/>
          <w:szCs w:val="22"/>
        </w:rPr>
        <w:t>, Lublin 1996</w:t>
      </w:r>
    </w:p>
    <w:p w14:paraId="26FFD7B1" w14:textId="159BB406" w:rsidR="00C7040B" w:rsidRPr="00E27A89" w:rsidRDefault="00C7040B" w:rsidP="00E27A89">
      <w:pPr>
        <w:pStyle w:val="Tekstprzypisudolnego"/>
        <w:jc w:val="both"/>
        <w:rPr>
          <w:sz w:val="22"/>
          <w:szCs w:val="22"/>
        </w:rPr>
      </w:pPr>
      <w:r w:rsidRPr="00E27A89">
        <w:rPr>
          <w:sz w:val="22"/>
          <w:szCs w:val="22"/>
        </w:rPr>
        <w:t>K. Complak</w:t>
      </w:r>
      <w:r w:rsidR="00387546" w:rsidRPr="00E27A89">
        <w:rPr>
          <w:sz w:val="22"/>
          <w:szCs w:val="22"/>
        </w:rPr>
        <w:t xml:space="preserve"> red.</w:t>
      </w:r>
      <w:r w:rsidRPr="00E27A89">
        <w:rPr>
          <w:sz w:val="22"/>
          <w:szCs w:val="22"/>
        </w:rPr>
        <w:t xml:space="preserve">, </w:t>
      </w:r>
      <w:r w:rsidRPr="00E27A89">
        <w:rPr>
          <w:i/>
          <w:sz w:val="22"/>
          <w:szCs w:val="22"/>
        </w:rPr>
        <w:t>Godność człowieka jako k</w:t>
      </w:r>
      <w:r w:rsidR="00567A77" w:rsidRPr="00E27A89">
        <w:rPr>
          <w:i/>
          <w:sz w:val="22"/>
          <w:szCs w:val="22"/>
        </w:rPr>
        <w:t>ategoria prawa</w:t>
      </w:r>
      <w:r w:rsidRPr="00E27A89">
        <w:rPr>
          <w:i/>
          <w:sz w:val="22"/>
          <w:szCs w:val="22"/>
        </w:rPr>
        <w:t>,</w:t>
      </w:r>
      <w:r w:rsidRPr="00E27A89">
        <w:rPr>
          <w:sz w:val="22"/>
          <w:szCs w:val="22"/>
        </w:rPr>
        <w:t xml:space="preserve"> Wr</w:t>
      </w:r>
      <w:r w:rsidRPr="00E27A89">
        <w:rPr>
          <w:sz w:val="22"/>
          <w:szCs w:val="22"/>
        </w:rPr>
        <w:t>o</w:t>
      </w:r>
      <w:r w:rsidRPr="00E27A89">
        <w:rPr>
          <w:sz w:val="22"/>
          <w:szCs w:val="22"/>
        </w:rPr>
        <w:t>cław 2001</w:t>
      </w:r>
    </w:p>
    <w:p w14:paraId="096C2E8D" w14:textId="4B387A58" w:rsidR="006F66A8" w:rsidRPr="00E27A89" w:rsidRDefault="00F63155" w:rsidP="00E27A89">
      <w:pPr>
        <w:pStyle w:val="Tekstprzypisudolnego"/>
        <w:jc w:val="both"/>
        <w:rPr>
          <w:sz w:val="22"/>
          <w:szCs w:val="22"/>
        </w:rPr>
      </w:pPr>
      <w:r w:rsidRPr="00E27A89">
        <w:rPr>
          <w:sz w:val="22"/>
          <w:szCs w:val="22"/>
        </w:rPr>
        <w:t xml:space="preserve">Cz. Głombik, </w:t>
      </w:r>
      <w:r w:rsidRPr="00E27A89">
        <w:rPr>
          <w:i/>
          <w:sz w:val="22"/>
          <w:szCs w:val="22"/>
        </w:rPr>
        <w:t>Osoba i kultura w filozoficznej wizji Jacques’a Maritaina</w:t>
      </w:r>
      <w:r w:rsidRPr="00E27A89">
        <w:rPr>
          <w:sz w:val="22"/>
          <w:szCs w:val="22"/>
        </w:rPr>
        <w:t xml:space="preserve">, (w:) </w:t>
      </w:r>
      <w:r w:rsidRPr="00E27A89">
        <w:rPr>
          <w:i/>
          <w:sz w:val="22"/>
          <w:szCs w:val="22"/>
        </w:rPr>
        <w:t>Filozofia XX wieku</w:t>
      </w:r>
      <w:r w:rsidRPr="00E27A89">
        <w:rPr>
          <w:sz w:val="22"/>
          <w:szCs w:val="22"/>
        </w:rPr>
        <w:t>, Z. Kuderowicz (red.), t. 1, Warszawa 2002</w:t>
      </w:r>
    </w:p>
    <w:p w14:paraId="3C87FCCC" w14:textId="6328D97C" w:rsidR="006D40D3" w:rsidRPr="00E27A89" w:rsidRDefault="006D40D3" w:rsidP="00E27A89">
      <w:pPr>
        <w:pStyle w:val="Tekstprzypisudolnego"/>
        <w:jc w:val="both"/>
        <w:rPr>
          <w:sz w:val="22"/>
          <w:szCs w:val="22"/>
        </w:rPr>
      </w:pPr>
      <w:r w:rsidRPr="00E27A89">
        <w:rPr>
          <w:sz w:val="22"/>
          <w:szCs w:val="22"/>
        </w:rPr>
        <w:t xml:space="preserve">Jan Paweł II, </w:t>
      </w:r>
      <w:r w:rsidRPr="00E27A89">
        <w:rPr>
          <w:i/>
          <w:sz w:val="22"/>
          <w:szCs w:val="22"/>
        </w:rPr>
        <w:t xml:space="preserve">Wiara i kultura. Dokumenty, przemówienia, homilie, </w:t>
      </w:r>
      <w:r w:rsidRPr="00E27A89">
        <w:rPr>
          <w:sz w:val="22"/>
          <w:szCs w:val="22"/>
        </w:rPr>
        <w:t>Rzym 1986</w:t>
      </w:r>
    </w:p>
    <w:p w14:paraId="6EB15D2D" w14:textId="69739C4B" w:rsidR="00A67B7F" w:rsidRPr="00E27A89" w:rsidRDefault="00A67B7F" w:rsidP="00E27A89">
      <w:pPr>
        <w:pStyle w:val="Tekstprzypisudolnego"/>
        <w:rPr>
          <w:sz w:val="22"/>
          <w:szCs w:val="22"/>
        </w:rPr>
      </w:pPr>
      <w:r w:rsidRPr="00E27A89">
        <w:rPr>
          <w:sz w:val="22"/>
          <w:szCs w:val="22"/>
        </w:rPr>
        <w:t xml:space="preserve">P. Jaroszyński, </w:t>
      </w:r>
      <w:r w:rsidRPr="00E27A89">
        <w:rPr>
          <w:i/>
          <w:sz w:val="22"/>
          <w:szCs w:val="22"/>
        </w:rPr>
        <w:t>Etyka – dramat życia moralnego</w:t>
      </w:r>
      <w:r w:rsidRPr="00E27A89">
        <w:rPr>
          <w:sz w:val="22"/>
          <w:szCs w:val="22"/>
        </w:rPr>
        <w:t>, (w:) M. A. Krąpiec, S. Kamiński, Z. J. Zd</w:t>
      </w:r>
      <w:r w:rsidRPr="00E27A89">
        <w:rPr>
          <w:sz w:val="22"/>
          <w:szCs w:val="22"/>
        </w:rPr>
        <w:t>y</w:t>
      </w:r>
      <w:r w:rsidRPr="00E27A89">
        <w:rPr>
          <w:sz w:val="22"/>
          <w:szCs w:val="22"/>
        </w:rPr>
        <w:t xml:space="preserve">bicka, A. Maryniarczyk, P. Jaroszyński, </w:t>
      </w:r>
      <w:r w:rsidRPr="00E27A89">
        <w:rPr>
          <w:i/>
          <w:sz w:val="22"/>
          <w:szCs w:val="22"/>
        </w:rPr>
        <w:t>Wprowadzenie do filozofii</w:t>
      </w:r>
      <w:r w:rsidRPr="00E27A89">
        <w:rPr>
          <w:sz w:val="22"/>
          <w:szCs w:val="22"/>
        </w:rPr>
        <w:t>, Lublin 2003</w:t>
      </w:r>
    </w:p>
    <w:p w14:paraId="0E9B7A6A" w14:textId="25370C0E" w:rsidR="0066394E" w:rsidRPr="00E27A89" w:rsidRDefault="0066394E" w:rsidP="00E27A89">
      <w:pPr>
        <w:pStyle w:val="Tekstprzypisudolnego"/>
        <w:rPr>
          <w:sz w:val="22"/>
          <w:szCs w:val="22"/>
        </w:rPr>
      </w:pPr>
      <w:r w:rsidRPr="00E27A89">
        <w:rPr>
          <w:sz w:val="22"/>
          <w:szCs w:val="22"/>
        </w:rPr>
        <w:t>S. Kowalczyk,</w:t>
      </w:r>
      <w:r w:rsidRPr="00E27A89">
        <w:rPr>
          <w:i/>
          <w:sz w:val="22"/>
          <w:szCs w:val="22"/>
        </w:rPr>
        <w:t xml:space="preserve"> Wprowadzenie do filozofii J. Maritaina, </w:t>
      </w:r>
      <w:r w:rsidRPr="00E27A89">
        <w:rPr>
          <w:sz w:val="22"/>
          <w:szCs w:val="22"/>
        </w:rPr>
        <w:t>Lublin 1992</w:t>
      </w:r>
    </w:p>
    <w:p w14:paraId="150FF23C" w14:textId="77777777" w:rsidR="0066394E" w:rsidRPr="00E27A89" w:rsidRDefault="006F66A8" w:rsidP="00E27A89">
      <w:pPr>
        <w:pStyle w:val="Tekstprzypisudolnego"/>
        <w:jc w:val="both"/>
        <w:rPr>
          <w:sz w:val="22"/>
          <w:szCs w:val="22"/>
        </w:rPr>
      </w:pPr>
      <w:r w:rsidRPr="00E27A89">
        <w:rPr>
          <w:sz w:val="22"/>
          <w:szCs w:val="22"/>
        </w:rPr>
        <w:t xml:space="preserve">M. A. Krąpiec, </w:t>
      </w:r>
      <w:r w:rsidRPr="00E27A89">
        <w:rPr>
          <w:i/>
          <w:sz w:val="22"/>
          <w:szCs w:val="22"/>
        </w:rPr>
        <w:t>Ja – człowiek. Zarys antropologii filozoficznej</w:t>
      </w:r>
      <w:r w:rsidRPr="00E27A89">
        <w:rPr>
          <w:sz w:val="22"/>
          <w:szCs w:val="22"/>
        </w:rPr>
        <w:t>, Lublin 1974</w:t>
      </w:r>
    </w:p>
    <w:p w14:paraId="30A57AFD" w14:textId="413FF22C" w:rsidR="0066394E" w:rsidRPr="00E27A89" w:rsidRDefault="0066394E" w:rsidP="00E27A89">
      <w:pPr>
        <w:pStyle w:val="Tekstprzypisudolnego"/>
        <w:jc w:val="both"/>
        <w:rPr>
          <w:sz w:val="22"/>
          <w:szCs w:val="22"/>
        </w:rPr>
      </w:pPr>
      <w:r w:rsidRPr="00E27A89">
        <w:rPr>
          <w:sz w:val="22"/>
          <w:szCs w:val="22"/>
        </w:rPr>
        <w:t xml:space="preserve"> J. Maritain,</w:t>
      </w:r>
      <w:r w:rsidRPr="00E27A89">
        <w:rPr>
          <w:i/>
          <w:sz w:val="22"/>
          <w:szCs w:val="22"/>
        </w:rPr>
        <w:t xml:space="preserve"> Humanizm integralny,</w:t>
      </w:r>
      <w:r w:rsidRPr="00E27A89">
        <w:rPr>
          <w:sz w:val="22"/>
          <w:szCs w:val="22"/>
        </w:rPr>
        <w:t xml:space="preserve"> Kraków 1976</w:t>
      </w:r>
    </w:p>
    <w:p w14:paraId="32F41E0D" w14:textId="31940734" w:rsidR="0002780E" w:rsidRPr="00E27A89" w:rsidRDefault="0002780E" w:rsidP="00E27A89">
      <w:pPr>
        <w:pStyle w:val="Tekstprzypisudolnego"/>
        <w:jc w:val="both"/>
        <w:rPr>
          <w:sz w:val="22"/>
          <w:szCs w:val="22"/>
        </w:rPr>
      </w:pPr>
      <w:r w:rsidRPr="00E27A89">
        <w:rPr>
          <w:sz w:val="22"/>
          <w:szCs w:val="22"/>
        </w:rPr>
        <w:t xml:space="preserve">T. Mazowiecki, </w:t>
      </w:r>
      <w:r w:rsidRPr="00E27A89">
        <w:rPr>
          <w:i/>
          <w:sz w:val="22"/>
          <w:szCs w:val="22"/>
        </w:rPr>
        <w:t>Czy personalizm może przestać istnieć? Do uczestników Kongresu Mouni</w:t>
      </w:r>
      <w:r w:rsidRPr="00E27A89">
        <w:rPr>
          <w:i/>
          <w:sz w:val="22"/>
          <w:szCs w:val="22"/>
        </w:rPr>
        <w:t>e</w:t>
      </w:r>
      <w:r w:rsidRPr="00E27A89">
        <w:rPr>
          <w:i/>
          <w:sz w:val="22"/>
          <w:szCs w:val="22"/>
        </w:rPr>
        <w:t>rowskiego w Paryżu 5-6 października 2000,</w:t>
      </w:r>
      <w:r w:rsidRPr="00E27A89">
        <w:rPr>
          <w:sz w:val="22"/>
          <w:szCs w:val="22"/>
        </w:rPr>
        <w:t xml:space="preserve"> ,,Więź” 2000, nr 12</w:t>
      </w:r>
    </w:p>
    <w:p w14:paraId="3E546B25" w14:textId="2ACA10AD" w:rsidR="00DF2FC1" w:rsidRPr="00E27A89" w:rsidRDefault="00DF2FC1" w:rsidP="00E27A89">
      <w:pPr>
        <w:pStyle w:val="Tekstprzypisudolnego"/>
        <w:rPr>
          <w:sz w:val="22"/>
          <w:szCs w:val="22"/>
        </w:rPr>
      </w:pPr>
      <w:r w:rsidRPr="00E27A89">
        <w:rPr>
          <w:sz w:val="22"/>
          <w:szCs w:val="22"/>
        </w:rPr>
        <w:t xml:space="preserve">E. Mounier, </w:t>
      </w:r>
      <w:r w:rsidRPr="00E27A89">
        <w:rPr>
          <w:i/>
          <w:sz w:val="22"/>
          <w:szCs w:val="22"/>
        </w:rPr>
        <w:t>Co to jest personalizm?</w:t>
      </w:r>
      <w:r w:rsidRPr="00E27A89">
        <w:rPr>
          <w:sz w:val="22"/>
          <w:szCs w:val="22"/>
        </w:rPr>
        <w:t>, tłum. D. Eska, A. Turowicz, A. Krasiński, Kraków 1960</w:t>
      </w:r>
    </w:p>
    <w:p w14:paraId="2D69BD68" w14:textId="6379975F" w:rsidR="003A4649" w:rsidRPr="00E27A89" w:rsidRDefault="003A4649" w:rsidP="00E27A89">
      <w:pPr>
        <w:pStyle w:val="Tekstprzypisudolnego"/>
        <w:jc w:val="both"/>
        <w:rPr>
          <w:sz w:val="22"/>
          <w:szCs w:val="22"/>
        </w:rPr>
      </w:pPr>
      <w:r w:rsidRPr="00E27A89">
        <w:rPr>
          <w:sz w:val="22"/>
          <w:szCs w:val="22"/>
        </w:rPr>
        <w:t xml:space="preserve">T. Płużański, </w:t>
      </w:r>
      <w:r w:rsidRPr="00E27A89">
        <w:rPr>
          <w:i/>
          <w:sz w:val="22"/>
          <w:szCs w:val="22"/>
        </w:rPr>
        <w:t>Emmanuel Mounier – twórca personalizmu</w:t>
      </w:r>
      <w:r w:rsidRPr="00E27A89">
        <w:rPr>
          <w:sz w:val="22"/>
          <w:szCs w:val="22"/>
        </w:rPr>
        <w:t xml:space="preserve">, (w:) </w:t>
      </w:r>
      <w:r w:rsidRPr="00E27A89">
        <w:rPr>
          <w:i/>
          <w:sz w:val="22"/>
          <w:szCs w:val="22"/>
        </w:rPr>
        <w:t>Filozofia XX wieku</w:t>
      </w:r>
      <w:r w:rsidRPr="00E27A89">
        <w:rPr>
          <w:sz w:val="22"/>
          <w:szCs w:val="22"/>
        </w:rPr>
        <w:t>, Z. Kud</w:t>
      </w:r>
      <w:r w:rsidRPr="00E27A89">
        <w:rPr>
          <w:sz w:val="22"/>
          <w:szCs w:val="22"/>
        </w:rPr>
        <w:t>e</w:t>
      </w:r>
      <w:r w:rsidRPr="00E27A89">
        <w:rPr>
          <w:sz w:val="22"/>
          <w:szCs w:val="22"/>
        </w:rPr>
        <w:t>rowicz (red.), t. 1, Warszawa 2002</w:t>
      </w:r>
    </w:p>
    <w:p w14:paraId="73FBEC24" w14:textId="479ACD5A" w:rsidR="00643505" w:rsidRPr="005F7CE9" w:rsidRDefault="00C7040B" w:rsidP="005F7CE9">
      <w:pPr>
        <w:pStyle w:val="Tekstprzypisudolnego"/>
        <w:jc w:val="both"/>
        <w:rPr>
          <w:sz w:val="22"/>
          <w:szCs w:val="22"/>
        </w:rPr>
      </w:pPr>
      <w:r w:rsidRPr="00E27A89">
        <w:rPr>
          <w:i/>
          <w:sz w:val="22"/>
          <w:szCs w:val="22"/>
        </w:rPr>
        <w:t>Prawa człowieka. Wybór materiałów. Dokumenty międzynarodowe</w:t>
      </w:r>
      <w:r w:rsidRPr="00E27A89">
        <w:rPr>
          <w:sz w:val="22"/>
          <w:szCs w:val="22"/>
        </w:rPr>
        <w:t>, tłum. i oprac. B. Gr</w:t>
      </w:r>
      <w:r w:rsidRPr="00E27A89">
        <w:rPr>
          <w:sz w:val="22"/>
          <w:szCs w:val="22"/>
        </w:rPr>
        <w:t>o</w:t>
      </w:r>
      <w:r w:rsidRPr="00E27A89">
        <w:rPr>
          <w:sz w:val="22"/>
          <w:szCs w:val="22"/>
        </w:rPr>
        <w:t>nowska, T. Jasudowicz, C. Mik, Toruń 1993</w:t>
      </w:r>
      <w:bookmarkStart w:id="0" w:name="_GoBack"/>
      <w:bookmarkEnd w:id="0"/>
    </w:p>
    <w:p w14:paraId="156C4408" w14:textId="79DC1DEB" w:rsidR="004552EF" w:rsidRPr="00E27A89" w:rsidRDefault="004552EF" w:rsidP="00E27A89">
      <w:pPr>
        <w:pStyle w:val="Tekstprzypisudolnego"/>
        <w:rPr>
          <w:sz w:val="22"/>
          <w:szCs w:val="22"/>
          <w:lang w:val="fr-FR"/>
        </w:rPr>
      </w:pPr>
      <w:r w:rsidRPr="00E27A89">
        <w:rPr>
          <w:sz w:val="22"/>
          <w:szCs w:val="22"/>
        </w:rPr>
        <w:t xml:space="preserve">A. Rodziński, </w:t>
      </w:r>
      <w:r w:rsidRPr="00E27A89">
        <w:rPr>
          <w:i/>
          <w:sz w:val="22"/>
          <w:szCs w:val="22"/>
        </w:rPr>
        <w:t>Osoba, moralność, kultura</w:t>
      </w:r>
      <w:r w:rsidRPr="00E27A89">
        <w:rPr>
          <w:sz w:val="22"/>
          <w:szCs w:val="22"/>
        </w:rPr>
        <w:t>, Lublin 1989</w:t>
      </w:r>
    </w:p>
    <w:p w14:paraId="76FF756E" w14:textId="140AEA32" w:rsidR="00DF2FC1" w:rsidRPr="00E27A89" w:rsidRDefault="00DF2FC1" w:rsidP="00E27A89">
      <w:pPr>
        <w:pStyle w:val="Tekstprzypisudolnego"/>
        <w:jc w:val="both"/>
        <w:rPr>
          <w:sz w:val="22"/>
          <w:szCs w:val="22"/>
        </w:rPr>
      </w:pPr>
      <w:r w:rsidRPr="00E27A89">
        <w:rPr>
          <w:sz w:val="22"/>
          <w:szCs w:val="22"/>
        </w:rPr>
        <w:t xml:space="preserve">B. Smolka, </w:t>
      </w:r>
      <w:r w:rsidRPr="00E27A89">
        <w:rPr>
          <w:i/>
          <w:sz w:val="22"/>
          <w:szCs w:val="22"/>
        </w:rPr>
        <w:t>Narodziny i rozwój personalizmu</w:t>
      </w:r>
      <w:r w:rsidR="0093351E" w:rsidRPr="00E27A89">
        <w:rPr>
          <w:sz w:val="22"/>
          <w:szCs w:val="22"/>
        </w:rPr>
        <w:t>, Opole 2002</w:t>
      </w:r>
    </w:p>
    <w:p w14:paraId="5E556401" w14:textId="48AF0905" w:rsidR="000A0FCD" w:rsidRPr="00E27A89" w:rsidRDefault="000A0FCD" w:rsidP="00E27A89">
      <w:pPr>
        <w:pStyle w:val="Tekstprzypisudolnego"/>
        <w:jc w:val="both"/>
        <w:rPr>
          <w:sz w:val="22"/>
          <w:szCs w:val="22"/>
        </w:rPr>
      </w:pPr>
      <w:r w:rsidRPr="00E27A89">
        <w:rPr>
          <w:sz w:val="22"/>
          <w:szCs w:val="22"/>
        </w:rPr>
        <w:t xml:space="preserve">R. Szafarz, </w:t>
      </w:r>
      <w:r w:rsidRPr="00E27A89">
        <w:rPr>
          <w:i/>
          <w:sz w:val="22"/>
          <w:szCs w:val="22"/>
        </w:rPr>
        <w:t xml:space="preserve">Kultura prawna prawa europejskiego na tle traktatów Rady Europy, </w:t>
      </w:r>
      <w:r w:rsidRPr="00E27A89">
        <w:rPr>
          <w:sz w:val="22"/>
          <w:szCs w:val="22"/>
        </w:rPr>
        <w:t>,,Studia Prawnicze” 1997, nr 1</w:t>
      </w:r>
    </w:p>
    <w:p w14:paraId="337F4C64" w14:textId="1E6897AC" w:rsidR="006F66A8" w:rsidRPr="00E27A89" w:rsidRDefault="006F66A8" w:rsidP="00E27A89">
      <w:pPr>
        <w:pStyle w:val="Tekstprzypisudolnego"/>
        <w:rPr>
          <w:sz w:val="22"/>
          <w:szCs w:val="22"/>
        </w:rPr>
      </w:pPr>
      <w:r w:rsidRPr="00E27A89">
        <w:rPr>
          <w:sz w:val="22"/>
          <w:szCs w:val="22"/>
        </w:rPr>
        <w:t xml:space="preserve">K. Wojtyła, </w:t>
      </w:r>
      <w:r w:rsidRPr="00E27A89">
        <w:rPr>
          <w:i/>
          <w:sz w:val="22"/>
          <w:szCs w:val="22"/>
        </w:rPr>
        <w:t>Osoba i czyn</w:t>
      </w:r>
      <w:r w:rsidRPr="00E27A89">
        <w:rPr>
          <w:sz w:val="22"/>
          <w:szCs w:val="22"/>
        </w:rPr>
        <w:t>, Kraków 1969</w:t>
      </w:r>
    </w:p>
    <w:p w14:paraId="015D19E7" w14:textId="77777777" w:rsidR="00DF2FC1" w:rsidRPr="00E27A89" w:rsidRDefault="00DF2FC1" w:rsidP="00E27A89">
      <w:pPr>
        <w:pStyle w:val="Tekstprzypisudolnego"/>
        <w:rPr>
          <w:sz w:val="22"/>
          <w:szCs w:val="22"/>
        </w:rPr>
      </w:pPr>
    </w:p>
    <w:p w14:paraId="30015631" w14:textId="77777777" w:rsidR="00DF2FC1" w:rsidRPr="00E27A89" w:rsidRDefault="00DF2FC1" w:rsidP="00E27A89">
      <w:pPr>
        <w:pStyle w:val="Tekstprzypisudolnego"/>
        <w:jc w:val="both"/>
        <w:rPr>
          <w:i/>
          <w:sz w:val="22"/>
          <w:szCs w:val="22"/>
        </w:rPr>
      </w:pPr>
    </w:p>
    <w:p w14:paraId="07285FE9" w14:textId="77777777" w:rsidR="0002780E" w:rsidRPr="00E27A89" w:rsidRDefault="0002780E" w:rsidP="00E27A89">
      <w:pPr>
        <w:pStyle w:val="Tekstprzypisudolnego"/>
        <w:jc w:val="both"/>
        <w:rPr>
          <w:sz w:val="22"/>
          <w:szCs w:val="22"/>
        </w:rPr>
      </w:pPr>
    </w:p>
    <w:p w14:paraId="058A9ADB" w14:textId="77777777" w:rsidR="00E04AAD" w:rsidRPr="00E27A89" w:rsidRDefault="00E04AAD" w:rsidP="00E27A89">
      <w:pPr>
        <w:rPr>
          <w:sz w:val="22"/>
          <w:szCs w:val="22"/>
        </w:rPr>
      </w:pPr>
    </w:p>
    <w:sectPr w:rsidR="00E04AAD" w:rsidRPr="00E27A89" w:rsidSect="00886D24">
      <w:headerReference w:type="even" r:id="rId8"/>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4043" w14:textId="77777777" w:rsidR="00B77D2A" w:rsidRDefault="00B77D2A" w:rsidP="00786575">
      <w:r>
        <w:separator/>
      </w:r>
    </w:p>
  </w:endnote>
  <w:endnote w:type="continuationSeparator" w:id="0">
    <w:p w14:paraId="41DB3203" w14:textId="77777777" w:rsidR="00B77D2A" w:rsidRDefault="00B77D2A" w:rsidP="0078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9BBAC" w14:textId="77777777" w:rsidR="00B77D2A" w:rsidRDefault="00B77D2A" w:rsidP="00786575">
      <w:r>
        <w:separator/>
      </w:r>
    </w:p>
  </w:footnote>
  <w:footnote w:type="continuationSeparator" w:id="0">
    <w:p w14:paraId="43601A22" w14:textId="77777777" w:rsidR="00B77D2A" w:rsidRDefault="00B77D2A" w:rsidP="00786575">
      <w:r>
        <w:continuationSeparator/>
      </w:r>
    </w:p>
  </w:footnote>
  <w:footnote w:id="1">
    <w:p w14:paraId="2BBD2E24" w14:textId="223129FB" w:rsidR="00B77D2A" w:rsidRPr="001470A0" w:rsidRDefault="00B77D2A" w:rsidP="00786575">
      <w:pPr>
        <w:pStyle w:val="Tekstprzypisudolnego"/>
        <w:jc w:val="both"/>
        <w:rPr>
          <w:sz w:val="22"/>
          <w:szCs w:val="22"/>
        </w:rPr>
      </w:pPr>
      <w:r w:rsidRPr="001470A0">
        <w:rPr>
          <w:rStyle w:val="Odwoanieprzypisudolnego"/>
          <w:sz w:val="22"/>
          <w:szCs w:val="22"/>
        </w:rPr>
        <w:footnoteRef/>
      </w:r>
      <w:r w:rsidRPr="001470A0">
        <w:rPr>
          <w:sz w:val="22"/>
          <w:szCs w:val="22"/>
        </w:rPr>
        <w:t xml:space="preserve"> Ostatnio jesteśmy świadkami zawrotnej kariery wszędobylskiego terminu: ,,postmodernizm”, d</w:t>
      </w:r>
      <w:r w:rsidRPr="001470A0">
        <w:rPr>
          <w:sz w:val="22"/>
          <w:szCs w:val="22"/>
        </w:rPr>
        <w:t>o</w:t>
      </w:r>
      <w:r w:rsidRPr="001470A0">
        <w:rPr>
          <w:sz w:val="22"/>
          <w:szCs w:val="22"/>
        </w:rPr>
        <w:t>słownie: pomowoczesność w jego rozlicznych znaczeniowo odmianach (transmodernizm, antyhum</w:t>
      </w:r>
      <w:r w:rsidRPr="001470A0">
        <w:rPr>
          <w:sz w:val="22"/>
          <w:szCs w:val="22"/>
        </w:rPr>
        <w:t>a</w:t>
      </w:r>
      <w:r w:rsidRPr="001470A0">
        <w:rPr>
          <w:sz w:val="22"/>
          <w:szCs w:val="22"/>
        </w:rPr>
        <w:t xml:space="preserve">nizm, poststrukturalizm, dekonstruktywizm, nomadyzm). Po raz pierwszy pojawił się on w 1917 r. w książce R. Pannwitza </w:t>
      </w:r>
      <w:r w:rsidRPr="001470A0">
        <w:rPr>
          <w:i/>
          <w:sz w:val="22"/>
          <w:szCs w:val="22"/>
        </w:rPr>
        <w:t>Kryzys kultury europejskiej.</w:t>
      </w:r>
      <w:r w:rsidRPr="001470A0">
        <w:rPr>
          <w:sz w:val="22"/>
          <w:szCs w:val="22"/>
        </w:rPr>
        <w:t xml:space="preserve"> Następnie w pracach z literaturoznawstwa (m.in. F. de Oniza, L. Fiedlera) i architektury (np. Ch. Jencksa). Z końcem lat 70. XX w. w naukach human</w:t>
      </w:r>
      <w:r w:rsidRPr="001470A0">
        <w:rPr>
          <w:sz w:val="22"/>
          <w:szCs w:val="22"/>
        </w:rPr>
        <w:t>i</w:t>
      </w:r>
      <w:r w:rsidRPr="001470A0">
        <w:rPr>
          <w:sz w:val="22"/>
          <w:szCs w:val="22"/>
        </w:rPr>
        <w:t>stycznych zaczyna się postmodernistyczny przełom. Do filozofii pojęcie to wkracza w 1979 r. z chw</w:t>
      </w:r>
      <w:r w:rsidRPr="001470A0">
        <w:rPr>
          <w:sz w:val="22"/>
          <w:szCs w:val="22"/>
        </w:rPr>
        <w:t>i</w:t>
      </w:r>
      <w:r w:rsidRPr="001470A0">
        <w:rPr>
          <w:sz w:val="22"/>
          <w:szCs w:val="22"/>
        </w:rPr>
        <w:t xml:space="preserve">lą opublikowania przez J. F. Lyotarda </w:t>
      </w:r>
      <w:r w:rsidRPr="001470A0">
        <w:rPr>
          <w:i/>
          <w:sz w:val="22"/>
          <w:szCs w:val="22"/>
        </w:rPr>
        <w:t>La condition postmoderne.</w:t>
      </w:r>
      <w:r w:rsidRPr="001470A0">
        <w:rPr>
          <w:sz w:val="22"/>
          <w:szCs w:val="22"/>
        </w:rPr>
        <w:t xml:space="preserve"> Uznając postmodernizm za frapuj</w:t>
      </w:r>
      <w:r w:rsidRPr="001470A0">
        <w:rPr>
          <w:sz w:val="22"/>
          <w:szCs w:val="22"/>
        </w:rPr>
        <w:t>ą</w:t>
      </w:r>
      <w:r w:rsidRPr="001470A0">
        <w:rPr>
          <w:sz w:val="22"/>
          <w:szCs w:val="22"/>
        </w:rPr>
        <w:t>cy przedmiot badawczy, zarówno w odmianie radykalnej (J. F. Lyotard, J. Derrida, R. Rorty, M. Fo</w:t>
      </w:r>
      <w:r w:rsidRPr="001470A0">
        <w:rPr>
          <w:sz w:val="22"/>
          <w:szCs w:val="22"/>
        </w:rPr>
        <w:t>u</w:t>
      </w:r>
      <w:r w:rsidRPr="001470A0">
        <w:rPr>
          <w:sz w:val="22"/>
          <w:szCs w:val="22"/>
        </w:rPr>
        <w:t>cault. F. Fukuyama, Z. Bauman), jak i umiarkowanej (A. MacIntyre, J. Habermas, Ch. Taylor, P. K. Feyerabend),  zaznaczyć wypada, że nie będziemy się nim tutaj zajmować, gdyż rozumienie człowieka w kontekście kultury prawnej osadzamy w dyskursie personalistycznym, ekstrapolując go na płas</w:t>
      </w:r>
      <w:r w:rsidRPr="001470A0">
        <w:rPr>
          <w:sz w:val="22"/>
          <w:szCs w:val="22"/>
        </w:rPr>
        <w:t>z</w:t>
      </w:r>
      <w:r w:rsidRPr="001470A0">
        <w:rPr>
          <w:sz w:val="22"/>
          <w:szCs w:val="22"/>
        </w:rPr>
        <w:t>czyznę jurysprudencji.</w:t>
      </w:r>
    </w:p>
  </w:footnote>
  <w:footnote w:id="2">
    <w:p w14:paraId="3796CED0" w14:textId="77777777" w:rsidR="00B77D2A" w:rsidRPr="00701A15" w:rsidRDefault="00B77D2A" w:rsidP="00786575">
      <w:pPr>
        <w:pStyle w:val="Tekstprzypisudolnego"/>
        <w:jc w:val="both"/>
        <w:rPr>
          <w:sz w:val="22"/>
          <w:szCs w:val="22"/>
        </w:rPr>
      </w:pPr>
      <w:r w:rsidRPr="001470A0">
        <w:rPr>
          <w:rStyle w:val="Odwoanieprzypisudolnego"/>
          <w:sz w:val="22"/>
          <w:szCs w:val="22"/>
        </w:rPr>
        <w:footnoteRef/>
      </w:r>
      <w:r w:rsidRPr="001470A0">
        <w:rPr>
          <w:sz w:val="22"/>
          <w:szCs w:val="22"/>
        </w:rPr>
        <w:t xml:space="preserve"> C. Gawryś w artykule </w:t>
      </w:r>
      <w:r w:rsidRPr="001470A0">
        <w:rPr>
          <w:i/>
          <w:sz w:val="22"/>
          <w:szCs w:val="22"/>
        </w:rPr>
        <w:t>Rzeczywistość odzyskiwana. Emmanuel Mounier a polskie doświadczenie w</w:t>
      </w:r>
      <w:r w:rsidRPr="001470A0">
        <w:rPr>
          <w:i/>
          <w:sz w:val="22"/>
          <w:szCs w:val="22"/>
        </w:rPr>
        <w:t>y</w:t>
      </w:r>
      <w:r w:rsidRPr="001470A0">
        <w:rPr>
          <w:i/>
          <w:sz w:val="22"/>
          <w:szCs w:val="22"/>
        </w:rPr>
        <w:t>chodzenia z totalitaryzmu</w:t>
      </w:r>
      <w:r w:rsidRPr="001470A0">
        <w:rPr>
          <w:sz w:val="22"/>
          <w:szCs w:val="22"/>
        </w:rPr>
        <w:t xml:space="preserve"> taki nadaje sens użytym terminom: ,,[…] powstanie «Solidarności» - ruchu społecznego i narodowego - oraz ten wielki impuls, jaki dała  «Solidarność» Polsce i światu, można określić mianem rewolucji personalistycznej i wspólnotowej […].  W Sierpniu porzuciliśmy abstra</w:t>
      </w:r>
      <w:r w:rsidRPr="001470A0">
        <w:rPr>
          <w:sz w:val="22"/>
          <w:szCs w:val="22"/>
        </w:rPr>
        <w:t>k</w:t>
      </w:r>
      <w:r w:rsidRPr="001470A0">
        <w:rPr>
          <w:sz w:val="22"/>
          <w:szCs w:val="22"/>
        </w:rPr>
        <w:t>cję ról wyznaczonych przez system totalitarny na rzecz istnienia konkretnego. […] staliśmy się os</w:t>
      </w:r>
      <w:r w:rsidRPr="001470A0">
        <w:rPr>
          <w:sz w:val="22"/>
          <w:szCs w:val="22"/>
        </w:rPr>
        <w:t>o</w:t>
      </w:r>
      <w:r w:rsidRPr="00701A15">
        <w:rPr>
          <w:sz w:val="22"/>
          <w:szCs w:val="22"/>
        </w:rPr>
        <w:t>bami i wspólnotą. W łonie dawnego stanu rzeczy, i w drastycznej opozycji wobec niego, powstała rzeczywistość nowa – w tym sensie był polski Sierpień rewolucją. Jej  swoistym  dopełnieniem  było porozumienie Okrągłego stołu, a następnie wybory 4 czerwca 1989 roku […]. I oto Tadeusz Maz</w:t>
      </w:r>
      <w:r w:rsidRPr="00701A15">
        <w:rPr>
          <w:sz w:val="22"/>
          <w:szCs w:val="22"/>
        </w:rPr>
        <w:t>o</w:t>
      </w:r>
      <w:r w:rsidRPr="00701A15">
        <w:rPr>
          <w:sz w:val="22"/>
          <w:szCs w:val="22"/>
        </w:rPr>
        <w:t>wiecki, współzałożyciel i wieloletni redaktor naczelny miesięcznika „Więź”, ekspert «Solidarności», a następnie redaktor naczelny «Tygodnika Solidarność», po wyborach w 1989 roku pierwszy premier Polski znowu wolnej i niepodległej, rozpoczyna swoją misję od zaproszenia do współpracy każdego, skądkolwiek przychodzi, kto jest gotów lojalnie pracować na rzecz budowy nowego suwerennego polskiego państwa. Tak oto rewolucja personalistyczna znalazła kontynuację w personalistycznej pol</w:t>
      </w:r>
      <w:r w:rsidRPr="00701A15">
        <w:rPr>
          <w:sz w:val="22"/>
          <w:szCs w:val="22"/>
        </w:rPr>
        <w:t>i</w:t>
      </w:r>
      <w:r w:rsidRPr="00701A15">
        <w:rPr>
          <w:sz w:val="22"/>
          <w:szCs w:val="22"/>
        </w:rPr>
        <w:t>tyce”, „Więź” 2000, nr 12, s. 20-21.</w:t>
      </w:r>
    </w:p>
  </w:footnote>
  <w:footnote w:id="3">
    <w:p w14:paraId="00911F39" w14:textId="4F9D770B" w:rsidR="00B77D2A" w:rsidRPr="0082698F" w:rsidRDefault="00B77D2A" w:rsidP="00786575">
      <w:pPr>
        <w:pStyle w:val="Tekstprzypisudolnego"/>
        <w:jc w:val="both"/>
        <w:rPr>
          <w:sz w:val="22"/>
          <w:szCs w:val="22"/>
        </w:rPr>
      </w:pPr>
      <w:r w:rsidRPr="006329F2">
        <w:rPr>
          <w:rStyle w:val="Odwoanieprzypisudolnego"/>
          <w:sz w:val="22"/>
          <w:szCs w:val="22"/>
        </w:rPr>
        <w:footnoteRef/>
      </w:r>
      <w:r w:rsidRPr="006329F2">
        <w:rPr>
          <w:sz w:val="22"/>
          <w:szCs w:val="22"/>
        </w:rPr>
        <w:t xml:space="preserve"> Idąc za K. Guzowski można zaliczyć do personalistów również niefilozofów np. Zbigniewa Herbe</w:t>
      </w:r>
      <w:r w:rsidRPr="006329F2">
        <w:rPr>
          <w:sz w:val="22"/>
          <w:szCs w:val="22"/>
        </w:rPr>
        <w:t>r</w:t>
      </w:r>
      <w:r w:rsidRPr="006329F2">
        <w:rPr>
          <w:sz w:val="22"/>
          <w:szCs w:val="22"/>
        </w:rPr>
        <w:t xml:space="preserve">ta, Czesława Miłosza czy Antoniego Kępińskiego. Zob. K. Guzowski, </w:t>
      </w:r>
      <w:r w:rsidRPr="006329F2">
        <w:rPr>
          <w:i/>
          <w:sz w:val="22"/>
          <w:szCs w:val="22"/>
        </w:rPr>
        <w:t>Aktualność personalizmu</w:t>
      </w:r>
      <w:r w:rsidRPr="006329F2">
        <w:rPr>
          <w:sz w:val="22"/>
          <w:szCs w:val="22"/>
        </w:rPr>
        <w:t>, (w:)</w:t>
      </w:r>
      <w:r w:rsidRPr="0082698F">
        <w:rPr>
          <w:sz w:val="22"/>
          <w:szCs w:val="22"/>
        </w:rPr>
        <w:t xml:space="preserve"> W. Granat, </w:t>
      </w:r>
      <w:r w:rsidRPr="0082698F">
        <w:rPr>
          <w:i/>
          <w:sz w:val="22"/>
          <w:szCs w:val="22"/>
        </w:rPr>
        <w:t>Osoba ludzka. Próba definicji</w:t>
      </w:r>
      <w:r>
        <w:rPr>
          <w:sz w:val="22"/>
          <w:szCs w:val="22"/>
        </w:rPr>
        <w:t>, Lublin 2006, s. 338</w:t>
      </w:r>
      <w:r w:rsidRPr="0082698F">
        <w:rPr>
          <w:sz w:val="22"/>
          <w:szCs w:val="22"/>
        </w:rPr>
        <w:t xml:space="preserve">. </w:t>
      </w:r>
    </w:p>
  </w:footnote>
  <w:footnote w:id="4">
    <w:p w14:paraId="15017D91" w14:textId="77777777" w:rsidR="00B77D2A" w:rsidRPr="00275038" w:rsidRDefault="00B77D2A" w:rsidP="0046012E">
      <w:pPr>
        <w:pStyle w:val="Tekstprzypisudolnego"/>
        <w:jc w:val="both"/>
        <w:rPr>
          <w:sz w:val="22"/>
          <w:szCs w:val="22"/>
        </w:rPr>
      </w:pPr>
      <w:r w:rsidRPr="00275038">
        <w:rPr>
          <w:rStyle w:val="Odwoanieprzypisudolnego"/>
          <w:sz w:val="22"/>
          <w:szCs w:val="22"/>
        </w:rPr>
        <w:footnoteRef/>
      </w:r>
      <w:r w:rsidRPr="00275038">
        <w:rPr>
          <w:sz w:val="22"/>
          <w:szCs w:val="22"/>
        </w:rPr>
        <w:t xml:space="preserve"> Jeśli pokusić się o generalizującą uwagę na temat historii filozofii, to  trafna wydaje się diagnoza sformułowana przez S. Swieżawskiego. Ten znakomity mediewista dzieli filozofię na dwa okresy: klasyczny z metafizyką w centrum badań filozoficznych (od początku myśli klasycznej do XVI w.) i nowożytny −  skupiony na człowieku, podmiotowości (począwszy od Kartezjusza po chwilę obecną).</w:t>
      </w:r>
    </w:p>
  </w:footnote>
  <w:footnote w:id="5">
    <w:p w14:paraId="753AEF20" w14:textId="2F34AE5E" w:rsidR="00B77D2A" w:rsidRPr="004A24E0" w:rsidRDefault="00B77D2A" w:rsidP="00786575">
      <w:pPr>
        <w:pStyle w:val="Tekstprzypisudolnego"/>
        <w:jc w:val="both"/>
        <w:rPr>
          <w:sz w:val="22"/>
          <w:szCs w:val="22"/>
        </w:rPr>
      </w:pPr>
      <w:r w:rsidRPr="004A24E0">
        <w:rPr>
          <w:rStyle w:val="Odwoanieprzypisudolnego"/>
          <w:sz w:val="22"/>
          <w:szCs w:val="22"/>
        </w:rPr>
        <w:footnoteRef/>
      </w:r>
      <w:r w:rsidRPr="004A24E0">
        <w:rPr>
          <w:sz w:val="22"/>
          <w:szCs w:val="22"/>
        </w:rPr>
        <w:t xml:space="preserve"> Należy w tym miejscu przypomnieć znamienną wypowiedź I. Kanta: ,,Twierdzę oto: człowiek i w ogóle każda istota rozumna istnieje jako cel sam w sobie, nie tylko jako środek, którego ta lub owa wola mogła używać wedle swego upodobania, lecz musi być uważana zarazem za cel zawsze, we wszystkich swych czynach, odnoszących się tak do niego samego, jak też do innych istot rozumnych”, </w:t>
      </w:r>
      <w:r w:rsidRPr="004A24E0">
        <w:rPr>
          <w:i/>
          <w:sz w:val="22"/>
          <w:szCs w:val="22"/>
        </w:rPr>
        <w:t xml:space="preserve">Uzasadnienie metafizyki moralności, </w:t>
      </w:r>
      <w:r w:rsidRPr="004A24E0">
        <w:rPr>
          <w:sz w:val="22"/>
          <w:szCs w:val="22"/>
        </w:rPr>
        <w:t>tłum. M. Wartenberg, Warszawa 1984, s. 60-61.</w:t>
      </w:r>
    </w:p>
  </w:footnote>
  <w:footnote w:id="6">
    <w:p w14:paraId="70F49B74" w14:textId="77777777" w:rsidR="00B77D2A" w:rsidRPr="00806E8C" w:rsidRDefault="00B77D2A" w:rsidP="00786575">
      <w:pPr>
        <w:pStyle w:val="Tekstprzypisudolnego"/>
        <w:jc w:val="both"/>
        <w:rPr>
          <w:sz w:val="22"/>
          <w:szCs w:val="22"/>
        </w:rPr>
      </w:pPr>
      <w:r w:rsidRPr="00806E8C">
        <w:rPr>
          <w:rStyle w:val="Odwoanieprzypisudolnego"/>
          <w:sz w:val="22"/>
          <w:szCs w:val="22"/>
        </w:rPr>
        <w:footnoteRef/>
      </w:r>
      <w:r w:rsidRPr="00806E8C">
        <w:rPr>
          <w:sz w:val="22"/>
          <w:szCs w:val="22"/>
        </w:rPr>
        <w:t xml:space="preserve"> Twórcą koncepcji humanizmu integralnego jest J. Maritain. </w:t>
      </w:r>
      <w:r w:rsidRPr="008C0318">
        <w:rPr>
          <w:sz w:val="22"/>
          <w:szCs w:val="22"/>
        </w:rPr>
        <w:t>Buduje on swoją teorię, stawiając nast</w:t>
      </w:r>
      <w:r w:rsidRPr="008C0318">
        <w:rPr>
          <w:sz w:val="22"/>
          <w:szCs w:val="22"/>
        </w:rPr>
        <w:t>ę</w:t>
      </w:r>
      <w:r w:rsidRPr="008C0318">
        <w:rPr>
          <w:sz w:val="22"/>
          <w:szCs w:val="22"/>
        </w:rPr>
        <w:t>pującą tezę: ,,Dire que l’homme est une personne, c’est dire que dans le fond de son être il est plus un tout qu’une partie, et plus indépendan</w:t>
      </w:r>
      <w:r w:rsidRPr="00806E8C">
        <w:rPr>
          <w:sz w:val="22"/>
          <w:szCs w:val="22"/>
          <w:lang w:val="fr-FR"/>
        </w:rPr>
        <w:t xml:space="preserve">t que serf. C’est dire qu’il est un minuscule fragment de matière qui est en même temps un univers – un être mendiant qui communique avec l’être absolu – une chair mortelle dont la valeur éternelle – un brin de paille dans lequel entre le ciel”. </w:t>
      </w:r>
      <w:r w:rsidRPr="00806E8C">
        <w:rPr>
          <w:sz w:val="22"/>
          <w:szCs w:val="22"/>
        </w:rPr>
        <w:t>[Powiedzieć, że człowiek jest osobą, to znaczy powiedzieć, że w głębi swej istoty jest całością, nie częścią. Bardziej niezależny niż poddany, maleńki fragment materii, który jest jednocześnie wszechświatem. Źdźbło słomy, w kt</w:t>
      </w:r>
      <w:r w:rsidRPr="00806E8C">
        <w:rPr>
          <w:sz w:val="22"/>
          <w:szCs w:val="22"/>
        </w:rPr>
        <w:t>ó</w:t>
      </w:r>
      <w:r w:rsidRPr="00806E8C">
        <w:rPr>
          <w:sz w:val="22"/>
          <w:szCs w:val="22"/>
        </w:rPr>
        <w:t xml:space="preserve">re wnika niebo], </w:t>
      </w:r>
      <w:r w:rsidRPr="00806E8C">
        <w:rPr>
          <w:i/>
          <w:sz w:val="22"/>
          <w:szCs w:val="22"/>
        </w:rPr>
        <w:t>Principes d’une politique humaniste</w:t>
      </w:r>
      <w:r w:rsidRPr="00806E8C">
        <w:rPr>
          <w:sz w:val="22"/>
          <w:szCs w:val="22"/>
        </w:rPr>
        <w:t>, Paris 1944, s. 16.</w:t>
      </w:r>
    </w:p>
  </w:footnote>
  <w:footnote w:id="7">
    <w:p w14:paraId="52DF7FC2" w14:textId="5726D25A" w:rsidR="00B77D2A" w:rsidRDefault="00B77D2A" w:rsidP="00786575">
      <w:pPr>
        <w:pStyle w:val="Tekstprzypisudolnego"/>
        <w:jc w:val="both"/>
      </w:pPr>
      <w:r w:rsidRPr="00CB289C">
        <w:rPr>
          <w:rStyle w:val="Odwoanieprzypisudolnego"/>
          <w:sz w:val="22"/>
          <w:szCs w:val="22"/>
        </w:rPr>
        <w:footnoteRef/>
      </w:r>
      <w:r w:rsidRPr="00CB289C">
        <w:rPr>
          <w:sz w:val="22"/>
          <w:szCs w:val="22"/>
        </w:rPr>
        <w:t xml:space="preserve"> Tutaj dygresja: personalizm tomistyczny doprecyzował arystotelesowsko-tomaszową koncepcję człowieka osoby. W myśl tej koncepcji ludzie w porządku natury nie są sobie równi, bowiem każdy człowiek wyposażony jest przez nią w różne zdolności o zróżnicowanym stopniu. Inaczej jest w p</w:t>
      </w:r>
      <w:r w:rsidRPr="00CB289C">
        <w:rPr>
          <w:sz w:val="22"/>
          <w:szCs w:val="22"/>
        </w:rPr>
        <w:t>o</w:t>
      </w:r>
      <w:r w:rsidRPr="00CB289C">
        <w:rPr>
          <w:sz w:val="22"/>
          <w:szCs w:val="22"/>
        </w:rPr>
        <w:t>rządku osobowym (podmiotowym). Każdy człowiek niezależnie od wieku, płci, rasy, wykształcenia, wyznania etc. jest równy, skoro posiada te same atrybuty osoby ludzkiej: zdolność do poznania int</w:t>
      </w:r>
      <w:r w:rsidRPr="00CB289C">
        <w:rPr>
          <w:sz w:val="22"/>
          <w:szCs w:val="22"/>
        </w:rPr>
        <w:t>e</w:t>
      </w:r>
      <w:r w:rsidRPr="00CB289C">
        <w:rPr>
          <w:sz w:val="22"/>
          <w:szCs w:val="22"/>
        </w:rPr>
        <w:t>lektualnego (rozumność) i miłość, wolność (łączącą się z odpowiedzialnością), podmiotowość prawną, autonomiczność i godność (w tym religijną). Mimo iż cechy te podlegają zróżnicowanej aktualizacji ze względu na formy i fazy życia człowieka – są wspólne wszystkim ludziom</w:t>
      </w:r>
      <w:r>
        <w:t>.</w:t>
      </w:r>
    </w:p>
  </w:footnote>
  <w:footnote w:id="8">
    <w:p w14:paraId="04B93230" w14:textId="77777777" w:rsidR="00B77D2A" w:rsidRPr="00BF6E05" w:rsidRDefault="00B77D2A" w:rsidP="00786575">
      <w:pPr>
        <w:pStyle w:val="Tekstprzypisudolnego"/>
        <w:jc w:val="both"/>
        <w:rPr>
          <w:sz w:val="22"/>
          <w:szCs w:val="22"/>
          <w:lang w:val="fr-FR"/>
        </w:rPr>
      </w:pPr>
      <w:r w:rsidRPr="00BF6E05">
        <w:rPr>
          <w:rStyle w:val="Odwoanieprzypisudolnego"/>
          <w:sz w:val="22"/>
          <w:szCs w:val="22"/>
        </w:rPr>
        <w:footnoteRef/>
      </w:r>
      <w:r w:rsidRPr="00BF6E05">
        <w:rPr>
          <w:sz w:val="22"/>
          <w:szCs w:val="22"/>
          <w:lang w:val="fr-FR"/>
        </w:rPr>
        <w:t xml:space="preserve"> ,,Une personne est un centre de liberté, fait face aux choses, à l’univers, à Dieu, dialogue avec une autre personne, communique avec celle selon l’intelligence et l’affection” </w:t>
      </w:r>
      <w:r w:rsidRPr="00A740B0">
        <w:rPr>
          <w:sz w:val="22"/>
          <w:szCs w:val="22"/>
        </w:rPr>
        <w:t>[Osoba jest centrum woln</w:t>
      </w:r>
      <w:r w:rsidRPr="00A740B0">
        <w:rPr>
          <w:sz w:val="22"/>
          <w:szCs w:val="22"/>
        </w:rPr>
        <w:t>o</w:t>
      </w:r>
      <w:r w:rsidRPr="00A740B0">
        <w:rPr>
          <w:sz w:val="22"/>
          <w:szCs w:val="22"/>
        </w:rPr>
        <w:t>ści, jest twarzą zwróconą w stronę rzeczy wszechświata i Boga, jest dialogiem z inną osobą, nawiąz</w:t>
      </w:r>
      <w:r w:rsidRPr="00A740B0">
        <w:rPr>
          <w:sz w:val="22"/>
          <w:szCs w:val="22"/>
        </w:rPr>
        <w:t>u</w:t>
      </w:r>
      <w:r w:rsidRPr="00A740B0">
        <w:rPr>
          <w:sz w:val="22"/>
          <w:szCs w:val="22"/>
        </w:rPr>
        <w:t xml:space="preserve">jąc z nią kontakt poprzez posiadanie inteligencji i uczuć], </w:t>
      </w:r>
      <w:r w:rsidRPr="00BF6E05">
        <w:rPr>
          <w:sz w:val="22"/>
          <w:szCs w:val="22"/>
          <w:lang w:val="fr-FR"/>
        </w:rPr>
        <w:t xml:space="preserve">J. Maritain, </w:t>
      </w:r>
      <w:r w:rsidRPr="00BF6E05">
        <w:rPr>
          <w:i/>
          <w:sz w:val="22"/>
          <w:szCs w:val="22"/>
          <w:lang w:val="fr-FR"/>
        </w:rPr>
        <w:t>Distinguer pour unir, ou les degrés du savoir</w:t>
      </w:r>
      <w:r w:rsidRPr="00BF6E05">
        <w:rPr>
          <w:sz w:val="22"/>
          <w:szCs w:val="22"/>
          <w:lang w:val="fr-FR"/>
        </w:rPr>
        <w:t>, Paris 1935, s. 357-358.</w:t>
      </w:r>
    </w:p>
  </w:footnote>
  <w:footnote w:id="9">
    <w:p w14:paraId="1D6DC80C" w14:textId="457CEBCA" w:rsidR="00B77D2A" w:rsidRPr="00313EE2" w:rsidRDefault="00B77D2A" w:rsidP="00786575">
      <w:pPr>
        <w:pStyle w:val="Tekstprzypisudolnego"/>
        <w:jc w:val="both"/>
        <w:rPr>
          <w:sz w:val="22"/>
          <w:szCs w:val="22"/>
        </w:rPr>
      </w:pPr>
      <w:r w:rsidRPr="00313EE2">
        <w:rPr>
          <w:rStyle w:val="Odwoanieprzypisudolnego"/>
          <w:sz w:val="22"/>
          <w:szCs w:val="22"/>
        </w:rPr>
        <w:footnoteRef/>
      </w:r>
      <w:r w:rsidRPr="00313EE2">
        <w:rPr>
          <w:sz w:val="22"/>
          <w:szCs w:val="22"/>
        </w:rPr>
        <w:t xml:space="preserve"> J. Messner ujmuje godność człowieka jako wartość uniwersalną i trójaspektową. Podstawę godności stanowi: rozum i wolność (aspekt metafizyczny), zdolność do podejmowania aktów wyboru i pon</w:t>
      </w:r>
      <w:r w:rsidRPr="00313EE2">
        <w:rPr>
          <w:sz w:val="22"/>
          <w:szCs w:val="22"/>
        </w:rPr>
        <w:t>o</w:t>
      </w:r>
      <w:r w:rsidRPr="00313EE2">
        <w:rPr>
          <w:sz w:val="22"/>
          <w:szCs w:val="22"/>
        </w:rPr>
        <w:t>szenia za nie odpowiedzialności (aspekt etyczny), świadomość używania atrybutów rozumności i wo</w:t>
      </w:r>
      <w:r w:rsidRPr="00313EE2">
        <w:rPr>
          <w:sz w:val="22"/>
          <w:szCs w:val="22"/>
        </w:rPr>
        <w:t>l</w:t>
      </w:r>
      <w:r w:rsidRPr="00313EE2">
        <w:rPr>
          <w:sz w:val="22"/>
          <w:szCs w:val="22"/>
        </w:rPr>
        <w:t xml:space="preserve">nej woli dla osiągania celów (aspekt prakseologiczny), </w:t>
      </w:r>
      <w:r w:rsidRPr="00313EE2">
        <w:rPr>
          <w:i/>
          <w:sz w:val="22"/>
          <w:szCs w:val="22"/>
        </w:rPr>
        <w:t>Das Naturrecht. Handbuch der Gesselschaf</w:t>
      </w:r>
      <w:r w:rsidRPr="00313EE2">
        <w:rPr>
          <w:i/>
          <w:sz w:val="22"/>
          <w:szCs w:val="22"/>
        </w:rPr>
        <w:t>t</w:t>
      </w:r>
      <w:r w:rsidRPr="00313EE2">
        <w:rPr>
          <w:i/>
          <w:sz w:val="22"/>
          <w:szCs w:val="22"/>
        </w:rPr>
        <w:t xml:space="preserve">sethik, Staatsethik und  Wirtschftsethik, </w:t>
      </w:r>
      <w:r w:rsidRPr="00313EE2">
        <w:rPr>
          <w:sz w:val="22"/>
          <w:szCs w:val="22"/>
        </w:rPr>
        <w:t>Insbruck-Wien-München 1966, s. 1372 i n.</w:t>
      </w:r>
    </w:p>
  </w:footnote>
  <w:footnote w:id="10">
    <w:p w14:paraId="7935CB1B" w14:textId="5DFE30A4" w:rsidR="00B77D2A" w:rsidRPr="002A6464" w:rsidRDefault="00B77D2A" w:rsidP="00786575">
      <w:pPr>
        <w:pStyle w:val="Tekstprzypisudolnego"/>
        <w:jc w:val="both"/>
        <w:rPr>
          <w:sz w:val="22"/>
          <w:szCs w:val="22"/>
        </w:rPr>
      </w:pPr>
      <w:r w:rsidRPr="002A6464">
        <w:rPr>
          <w:rStyle w:val="Odwoanieprzypisudolnego"/>
          <w:sz w:val="22"/>
          <w:szCs w:val="22"/>
        </w:rPr>
        <w:footnoteRef/>
      </w:r>
      <w:r w:rsidRPr="002A6464">
        <w:rPr>
          <w:sz w:val="22"/>
          <w:szCs w:val="22"/>
        </w:rPr>
        <w:t xml:space="preserve"> Termin </w:t>
      </w:r>
      <w:r w:rsidRPr="002A6464">
        <w:rPr>
          <w:i/>
          <w:sz w:val="22"/>
          <w:szCs w:val="22"/>
        </w:rPr>
        <w:t>personatio</w:t>
      </w:r>
      <w:r w:rsidRPr="002A6464">
        <w:rPr>
          <w:sz w:val="22"/>
          <w:szCs w:val="22"/>
        </w:rPr>
        <w:t xml:space="preserve"> pochodzi od J. H. Newmana, który zastosował wyrażenie ,,metoda personacji”, określając nim proces powstania osoby w kontekście </w:t>
      </w:r>
      <w:r w:rsidRPr="002A6464">
        <w:rPr>
          <w:i/>
          <w:sz w:val="22"/>
          <w:szCs w:val="22"/>
        </w:rPr>
        <w:t>homo laborans,</w:t>
      </w:r>
      <w:r w:rsidRPr="002A6464">
        <w:rPr>
          <w:sz w:val="22"/>
          <w:szCs w:val="22"/>
        </w:rPr>
        <w:t xml:space="preserve"> </w:t>
      </w:r>
      <w:r>
        <w:rPr>
          <w:sz w:val="22"/>
          <w:szCs w:val="22"/>
        </w:rPr>
        <w:t xml:space="preserve">w pracy </w:t>
      </w:r>
      <w:r w:rsidRPr="002A6464">
        <w:rPr>
          <w:i/>
          <w:sz w:val="22"/>
          <w:szCs w:val="22"/>
        </w:rPr>
        <w:t>Fifteen Sermous Pre</w:t>
      </w:r>
      <w:r w:rsidRPr="002A6464">
        <w:rPr>
          <w:i/>
          <w:sz w:val="22"/>
          <w:szCs w:val="22"/>
        </w:rPr>
        <w:t>a</w:t>
      </w:r>
      <w:r w:rsidRPr="002A6464">
        <w:rPr>
          <w:i/>
          <w:sz w:val="22"/>
          <w:szCs w:val="22"/>
        </w:rPr>
        <w:t xml:space="preserve">ched Before the University of Oxford, </w:t>
      </w:r>
      <w:r w:rsidRPr="002A6464">
        <w:rPr>
          <w:sz w:val="22"/>
          <w:szCs w:val="22"/>
        </w:rPr>
        <w:t xml:space="preserve">London 1872, s. 29. </w:t>
      </w:r>
    </w:p>
  </w:footnote>
  <w:footnote w:id="11">
    <w:p w14:paraId="1FBDBE0D" w14:textId="7C3978AF" w:rsidR="00B77D2A" w:rsidRPr="002A6464" w:rsidRDefault="00B77D2A" w:rsidP="00786575">
      <w:pPr>
        <w:pStyle w:val="Tekstprzypisudolnego"/>
        <w:jc w:val="both"/>
        <w:rPr>
          <w:sz w:val="22"/>
          <w:szCs w:val="22"/>
        </w:rPr>
      </w:pPr>
      <w:r w:rsidRPr="002A6464">
        <w:rPr>
          <w:rStyle w:val="Odwoanieprzypisudolnego"/>
          <w:sz w:val="22"/>
          <w:szCs w:val="22"/>
        </w:rPr>
        <w:footnoteRef/>
      </w:r>
      <w:r w:rsidRPr="002A6464">
        <w:rPr>
          <w:sz w:val="22"/>
          <w:szCs w:val="22"/>
        </w:rPr>
        <w:t xml:space="preserve"> Zasada ta swymi treściami odsyła do pierwszeństwa wartości osobowych  (takich, jak: podmiot</w:t>
      </w:r>
      <w:r w:rsidRPr="002A6464">
        <w:rPr>
          <w:sz w:val="22"/>
          <w:szCs w:val="22"/>
        </w:rPr>
        <w:t>o</w:t>
      </w:r>
      <w:r w:rsidRPr="002A6464">
        <w:rPr>
          <w:sz w:val="22"/>
          <w:szCs w:val="22"/>
        </w:rPr>
        <w:t xml:space="preserve">wość prawna, zupełność i godność - ustalających relacje do społeczeństwa obok równości, wolności i miłości - wyróżniających człowieka za świata przyrody) przed wartościami materialnymi. </w:t>
      </w:r>
    </w:p>
  </w:footnote>
  <w:footnote w:id="12">
    <w:p w14:paraId="616759E2" w14:textId="643B4626" w:rsidR="00B77D2A" w:rsidRPr="002A6464" w:rsidRDefault="00B77D2A" w:rsidP="00786575">
      <w:pPr>
        <w:pStyle w:val="Tekstprzypisudolnego"/>
        <w:jc w:val="both"/>
        <w:rPr>
          <w:sz w:val="22"/>
          <w:szCs w:val="22"/>
        </w:rPr>
      </w:pPr>
      <w:r w:rsidRPr="002A6464">
        <w:rPr>
          <w:rStyle w:val="Odwoanieprzypisudolnego"/>
          <w:sz w:val="22"/>
          <w:szCs w:val="22"/>
        </w:rPr>
        <w:footnoteRef/>
      </w:r>
      <w:r w:rsidRPr="002A6464">
        <w:rPr>
          <w:sz w:val="22"/>
          <w:szCs w:val="22"/>
        </w:rPr>
        <w:t xml:space="preserve"> Zasada ta odsyła do nadal aktualnych Mounierowskich postulatów tworzenia społeczeństwa przez osobę: 1) wyjść poza siebie, by służyć innym, 2) rozumieć innych, nie przestając być sobą, 3) pocz</w:t>
      </w:r>
      <w:r w:rsidRPr="002A6464">
        <w:rPr>
          <w:sz w:val="22"/>
          <w:szCs w:val="22"/>
        </w:rPr>
        <w:t>u</w:t>
      </w:r>
      <w:r w:rsidRPr="002A6464">
        <w:rPr>
          <w:sz w:val="22"/>
          <w:szCs w:val="22"/>
        </w:rPr>
        <w:t>wać się do współodpowiedzialności za los drugich, 4) dawać innym i dzielić się z nimi, 5) być wie</w:t>
      </w:r>
      <w:r w:rsidRPr="002A6464">
        <w:rPr>
          <w:sz w:val="22"/>
          <w:szCs w:val="22"/>
        </w:rPr>
        <w:t>r</w:t>
      </w:r>
      <w:r w:rsidRPr="002A6464">
        <w:rPr>
          <w:sz w:val="22"/>
          <w:szCs w:val="22"/>
        </w:rPr>
        <w:t>nym w człowieczeństwie, demokracji, przyjaźni , wartościach.</w:t>
      </w:r>
    </w:p>
  </w:footnote>
  <w:footnote w:id="13">
    <w:p w14:paraId="54F02B5C" w14:textId="0A6EB581" w:rsidR="00B77D2A" w:rsidRPr="004C24A2" w:rsidRDefault="00B77D2A" w:rsidP="00786575">
      <w:pPr>
        <w:pStyle w:val="Tekstprzypisudolnego"/>
        <w:jc w:val="both"/>
        <w:rPr>
          <w:i/>
          <w:sz w:val="22"/>
          <w:szCs w:val="22"/>
        </w:rPr>
      </w:pPr>
      <w:r w:rsidRPr="001B4A12">
        <w:rPr>
          <w:rStyle w:val="Odwoanieprzypisudolnego"/>
          <w:sz w:val="22"/>
          <w:szCs w:val="22"/>
        </w:rPr>
        <w:footnoteRef/>
      </w:r>
      <w:r w:rsidRPr="001B4A12">
        <w:rPr>
          <w:sz w:val="22"/>
          <w:szCs w:val="22"/>
        </w:rPr>
        <w:t xml:space="preserve"> Zasada ta kapitalnie nawiązuje do Mounierowskiej idei personalizmu społecznego zaangażowania. Francuski filozof działanie − zaangażowanie człowieka umieszcza w czterech wymiarach: 1) prakse</w:t>
      </w:r>
      <w:r w:rsidRPr="001B4A12">
        <w:rPr>
          <w:sz w:val="22"/>
          <w:szCs w:val="22"/>
        </w:rPr>
        <w:t>o</w:t>
      </w:r>
      <w:r w:rsidRPr="001B4A12">
        <w:rPr>
          <w:sz w:val="22"/>
          <w:szCs w:val="22"/>
        </w:rPr>
        <w:t xml:space="preserve">logicznym – przekształcanie rzeczywistości zewnętrznej (społeczno-polityczno-gospodarczej), 2) </w:t>
      </w:r>
      <w:r w:rsidRPr="004C24A2">
        <w:rPr>
          <w:sz w:val="22"/>
          <w:szCs w:val="22"/>
        </w:rPr>
        <w:t>pr</w:t>
      </w:r>
      <w:r w:rsidRPr="004C24A2">
        <w:rPr>
          <w:sz w:val="22"/>
          <w:szCs w:val="22"/>
        </w:rPr>
        <w:t>o</w:t>
      </w:r>
      <w:r w:rsidRPr="004C24A2">
        <w:rPr>
          <w:sz w:val="22"/>
          <w:szCs w:val="22"/>
        </w:rPr>
        <w:t>pozoicznym – kształtowanie samego siebie jako wielorakiej jedności (</w:t>
      </w:r>
      <w:r w:rsidRPr="004C24A2">
        <w:rPr>
          <w:i/>
          <w:sz w:val="22"/>
          <w:szCs w:val="22"/>
        </w:rPr>
        <w:t>unitas mutiplex)</w:t>
      </w:r>
      <w:r w:rsidRPr="004C24A2">
        <w:rPr>
          <w:sz w:val="22"/>
          <w:szCs w:val="22"/>
        </w:rPr>
        <w:t xml:space="preserve"> 3) epistemol</w:t>
      </w:r>
      <w:r w:rsidRPr="004C24A2">
        <w:rPr>
          <w:sz w:val="22"/>
          <w:szCs w:val="22"/>
        </w:rPr>
        <w:t>o</w:t>
      </w:r>
      <w:r w:rsidRPr="004C24A2">
        <w:rPr>
          <w:sz w:val="22"/>
          <w:szCs w:val="22"/>
        </w:rPr>
        <w:t>gicznym – poznanie człowieka, zbliżanie się do ludzi, 4) aksjologicznym – wzbogacenie świata wart</w:t>
      </w:r>
      <w:r w:rsidRPr="004C24A2">
        <w:rPr>
          <w:sz w:val="22"/>
          <w:szCs w:val="22"/>
        </w:rPr>
        <w:t>o</w:t>
      </w:r>
      <w:r w:rsidRPr="004C24A2">
        <w:rPr>
          <w:sz w:val="22"/>
          <w:szCs w:val="22"/>
        </w:rPr>
        <w:t xml:space="preserve">ści osobotwórczością,  w pracy </w:t>
      </w:r>
      <w:r w:rsidRPr="004C24A2">
        <w:rPr>
          <w:i/>
          <w:sz w:val="22"/>
          <w:szCs w:val="22"/>
        </w:rPr>
        <w:t xml:space="preserve">La personnalisme, </w:t>
      </w:r>
      <w:r w:rsidRPr="004C24A2">
        <w:rPr>
          <w:sz w:val="22"/>
          <w:szCs w:val="22"/>
        </w:rPr>
        <w:t>Paris 1957, s. 26, 105-110.</w:t>
      </w:r>
      <w:r w:rsidRPr="004C24A2">
        <w:rPr>
          <w:i/>
          <w:sz w:val="22"/>
          <w:szCs w:val="22"/>
        </w:rPr>
        <w:t xml:space="preserve"> </w:t>
      </w:r>
    </w:p>
  </w:footnote>
  <w:footnote w:id="14">
    <w:p w14:paraId="1CBC56B8" w14:textId="77777777" w:rsidR="00B77D2A" w:rsidRPr="004C24A2" w:rsidRDefault="00B77D2A" w:rsidP="00786575">
      <w:pPr>
        <w:pStyle w:val="Tekstprzypisudolnego"/>
        <w:jc w:val="both"/>
        <w:rPr>
          <w:sz w:val="22"/>
          <w:szCs w:val="22"/>
        </w:rPr>
      </w:pPr>
      <w:r w:rsidRPr="004C24A2">
        <w:rPr>
          <w:rStyle w:val="Odwoanieprzypisudolnego"/>
          <w:sz w:val="22"/>
          <w:szCs w:val="22"/>
        </w:rPr>
        <w:footnoteRef/>
      </w:r>
      <w:r w:rsidRPr="004C24A2">
        <w:rPr>
          <w:sz w:val="22"/>
          <w:szCs w:val="22"/>
        </w:rPr>
        <w:t xml:space="preserve"> Termin </w:t>
      </w:r>
      <w:r w:rsidRPr="004C24A2">
        <w:rPr>
          <w:i/>
          <w:sz w:val="22"/>
          <w:szCs w:val="22"/>
        </w:rPr>
        <w:t>cultura agi</w:t>
      </w:r>
      <w:r w:rsidRPr="004C24A2">
        <w:rPr>
          <w:sz w:val="22"/>
          <w:szCs w:val="22"/>
        </w:rPr>
        <w:t xml:space="preserve">, stosowany początkowo na oznaczenie kultury agrarnej, został przeniesiony przez Cycerona w VI w. p.n.e. do humanistyki, w tym i prawa. Cycero w dziele </w:t>
      </w:r>
      <w:r w:rsidRPr="004C24A2">
        <w:rPr>
          <w:i/>
          <w:sz w:val="22"/>
          <w:szCs w:val="22"/>
        </w:rPr>
        <w:t>De finibus</w:t>
      </w:r>
      <w:r w:rsidRPr="004C24A2">
        <w:rPr>
          <w:sz w:val="22"/>
          <w:szCs w:val="22"/>
        </w:rPr>
        <w:t xml:space="preserve"> posługuje się terminem </w:t>
      </w:r>
      <w:r w:rsidRPr="004C24A2">
        <w:rPr>
          <w:i/>
          <w:sz w:val="22"/>
          <w:szCs w:val="22"/>
        </w:rPr>
        <w:t>cultura</w:t>
      </w:r>
      <w:r w:rsidRPr="004C24A2">
        <w:rPr>
          <w:sz w:val="22"/>
          <w:szCs w:val="22"/>
        </w:rPr>
        <w:t xml:space="preserve"> </w:t>
      </w:r>
      <w:r w:rsidRPr="004C24A2">
        <w:rPr>
          <w:i/>
          <w:sz w:val="22"/>
          <w:szCs w:val="22"/>
        </w:rPr>
        <w:t>animi</w:t>
      </w:r>
      <w:r w:rsidRPr="004C24A2">
        <w:rPr>
          <w:sz w:val="22"/>
          <w:szCs w:val="22"/>
        </w:rPr>
        <w:t xml:space="preserve"> - ,,kultura ludzkiego ducha”.</w:t>
      </w:r>
    </w:p>
  </w:footnote>
  <w:footnote w:id="15">
    <w:p w14:paraId="005792B6" w14:textId="77777777" w:rsidR="00B77D2A" w:rsidRPr="004C24A2" w:rsidRDefault="00B77D2A" w:rsidP="00786575">
      <w:pPr>
        <w:pStyle w:val="Tekstprzypisudolnego"/>
        <w:jc w:val="both"/>
        <w:rPr>
          <w:sz w:val="22"/>
          <w:szCs w:val="22"/>
        </w:rPr>
      </w:pPr>
      <w:r w:rsidRPr="004C24A2">
        <w:rPr>
          <w:rStyle w:val="Odwoanieprzypisudolnego"/>
          <w:sz w:val="22"/>
          <w:szCs w:val="22"/>
        </w:rPr>
        <w:footnoteRef/>
      </w:r>
      <w:r w:rsidRPr="004C24A2">
        <w:rPr>
          <w:sz w:val="22"/>
          <w:szCs w:val="22"/>
        </w:rPr>
        <w:t xml:space="preserve"> Jak stwierdza J. Maritain, ,,[…] u nas «kultura» i «cywilizacja» stały się niemal synonimem. Poni</w:t>
      </w:r>
      <w:r w:rsidRPr="004C24A2">
        <w:rPr>
          <w:sz w:val="22"/>
          <w:szCs w:val="22"/>
        </w:rPr>
        <w:t>e</w:t>
      </w:r>
      <w:r w:rsidRPr="004C24A2">
        <w:rPr>
          <w:sz w:val="22"/>
          <w:szCs w:val="22"/>
        </w:rPr>
        <w:t>waż definicja jest rzeczą dowolną, z chwilą, gdy wyjaśnimy nasze stanowisko, zginą wszelkie trudn</w:t>
      </w:r>
      <w:r w:rsidRPr="004C24A2">
        <w:rPr>
          <w:sz w:val="22"/>
          <w:szCs w:val="22"/>
        </w:rPr>
        <w:t>o</w:t>
      </w:r>
      <w:r w:rsidRPr="004C24A2">
        <w:rPr>
          <w:sz w:val="22"/>
          <w:szCs w:val="22"/>
        </w:rPr>
        <w:t xml:space="preserve">ści. Według nas słowo «kultura» odnosi się do życia rozumnego i moralnego, słowo «cywilizacja» do życia politycznego i organizacyjnego. Wskutek tego słowo pierwsze ma zakres szerszy  i  dlatego  powinno  być  używane «przede wszystkim»”, </w:t>
      </w:r>
      <w:r w:rsidRPr="004C24A2">
        <w:rPr>
          <w:i/>
          <w:sz w:val="22"/>
          <w:szCs w:val="22"/>
        </w:rPr>
        <w:t>Religia i kultura</w:t>
      </w:r>
      <w:r w:rsidRPr="004C24A2">
        <w:rPr>
          <w:sz w:val="22"/>
          <w:szCs w:val="22"/>
        </w:rPr>
        <w:t>, tłum. H. Wężyk-Widawska, Poznań 1937, s. 76-77.</w:t>
      </w:r>
    </w:p>
  </w:footnote>
  <w:footnote w:id="16">
    <w:p w14:paraId="3F396644" w14:textId="0B0ECF7A" w:rsidR="00B77D2A" w:rsidRPr="004C24A2" w:rsidRDefault="00B77D2A" w:rsidP="00786575">
      <w:pPr>
        <w:pStyle w:val="Tekstprzypisudolnego"/>
        <w:jc w:val="both"/>
        <w:rPr>
          <w:sz w:val="22"/>
          <w:szCs w:val="22"/>
        </w:rPr>
      </w:pPr>
      <w:r w:rsidRPr="004C24A2">
        <w:rPr>
          <w:rStyle w:val="Odwoanieprzypisudolnego"/>
          <w:sz w:val="22"/>
          <w:szCs w:val="22"/>
        </w:rPr>
        <w:footnoteRef/>
      </w:r>
      <w:r w:rsidRPr="004C24A2">
        <w:rPr>
          <w:sz w:val="22"/>
          <w:szCs w:val="22"/>
        </w:rPr>
        <w:t xml:space="preserve"> W opinii W. Kaweckiego, ujęcie funkcjonalne przeciwstawia kulturę naturze. Ujęcie selektywne włącza do kultury dziedziny aktywności ludzkiej o charakterze intelektualno-duchowym. Ujęcie a</w:t>
      </w:r>
      <w:r w:rsidRPr="004C24A2">
        <w:rPr>
          <w:sz w:val="22"/>
          <w:szCs w:val="22"/>
        </w:rPr>
        <w:t>n</w:t>
      </w:r>
      <w:r w:rsidRPr="004C24A2">
        <w:rPr>
          <w:sz w:val="22"/>
          <w:szCs w:val="22"/>
        </w:rPr>
        <w:t>tropologiczne łączy kulturę z wytworami człowieka, traktując synonimicznie pojęcia ,,kultury” i  ,,cywilizacji” (reprezenta</w:t>
      </w:r>
      <w:r w:rsidRPr="004C24A2">
        <w:rPr>
          <w:sz w:val="22"/>
          <w:szCs w:val="22"/>
        </w:rPr>
        <w:t>n</w:t>
      </w:r>
      <w:r w:rsidRPr="004C24A2">
        <w:rPr>
          <w:sz w:val="22"/>
          <w:szCs w:val="22"/>
        </w:rPr>
        <w:t>tem tego ujęcia jest E. B. Taylor, określający kulturę jako pewną całość obejmującą wiedzę, sztukę, prawo, m</w:t>
      </w:r>
      <w:r w:rsidRPr="004C24A2">
        <w:rPr>
          <w:sz w:val="22"/>
          <w:szCs w:val="22"/>
        </w:rPr>
        <w:t>o</w:t>
      </w:r>
      <w:r w:rsidRPr="004C24A2">
        <w:rPr>
          <w:sz w:val="22"/>
          <w:szCs w:val="22"/>
        </w:rPr>
        <w:t xml:space="preserve">ralność oraz inne zdolności człowieka), </w:t>
      </w:r>
      <w:r w:rsidRPr="004C24A2">
        <w:rPr>
          <w:i/>
          <w:sz w:val="22"/>
          <w:szCs w:val="22"/>
        </w:rPr>
        <w:t>Ocalić człowieka – ocalić kulturę. Personalistyczna koncepcja teol</w:t>
      </w:r>
      <w:r w:rsidRPr="004C24A2">
        <w:rPr>
          <w:i/>
          <w:sz w:val="22"/>
          <w:szCs w:val="22"/>
        </w:rPr>
        <w:t>o</w:t>
      </w:r>
      <w:r w:rsidRPr="004C24A2">
        <w:rPr>
          <w:i/>
          <w:sz w:val="22"/>
          <w:szCs w:val="22"/>
        </w:rPr>
        <w:t>gii kultury</w:t>
      </w:r>
      <w:r w:rsidRPr="004C24A2">
        <w:rPr>
          <w:sz w:val="22"/>
          <w:szCs w:val="22"/>
        </w:rPr>
        <w:t xml:space="preserve">, Warszawa 2006, s. 17-18. </w:t>
      </w:r>
    </w:p>
  </w:footnote>
  <w:footnote w:id="17">
    <w:p w14:paraId="5493E349" w14:textId="77777777" w:rsidR="00B77D2A" w:rsidRDefault="00B77D2A" w:rsidP="00786575">
      <w:pPr>
        <w:pStyle w:val="Tekstprzypisudolnego"/>
        <w:jc w:val="both"/>
      </w:pPr>
      <w:r w:rsidRPr="001E4B34">
        <w:rPr>
          <w:rStyle w:val="Odwoanieprzypisudolnego"/>
          <w:sz w:val="22"/>
          <w:szCs w:val="22"/>
        </w:rPr>
        <w:footnoteRef/>
      </w:r>
      <w:r w:rsidRPr="001E4B34">
        <w:rPr>
          <w:sz w:val="22"/>
          <w:szCs w:val="22"/>
        </w:rPr>
        <w:t xml:space="preserve"> Według S. Retterer prawo wspólnotowe recypuje zasadę godności człowieka z konstytucji krajów członko</w:t>
      </w:r>
      <w:r w:rsidRPr="001E4B34">
        <w:rPr>
          <w:sz w:val="22"/>
          <w:szCs w:val="22"/>
        </w:rPr>
        <w:t>w</w:t>
      </w:r>
      <w:r w:rsidRPr="001E4B34">
        <w:rPr>
          <w:sz w:val="22"/>
          <w:szCs w:val="22"/>
        </w:rPr>
        <w:t>skich Unii. Konsekwencją włączenia tej zasady do prawa unijnego jest z jednej strony jej rozwój, a z drugiej -   na mocy zasady  pierwszeństwa prawa wspólnotowego idea godności człowieka nieobecna w prawie franc</w:t>
      </w:r>
      <w:r w:rsidRPr="001E4B34">
        <w:rPr>
          <w:sz w:val="22"/>
          <w:szCs w:val="22"/>
        </w:rPr>
        <w:t>u</w:t>
      </w:r>
      <w:r w:rsidRPr="001E4B34">
        <w:rPr>
          <w:sz w:val="22"/>
          <w:szCs w:val="22"/>
        </w:rPr>
        <w:t>skim, zostaje doń wprowadzona</w:t>
      </w:r>
      <w:r>
        <w:t xml:space="preserve">.   </w:t>
      </w:r>
    </w:p>
  </w:footnote>
  <w:footnote w:id="18">
    <w:p w14:paraId="488359C9" w14:textId="2A873B8B" w:rsidR="00B77D2A" w:rsidRPr="005C1130" w:rsidRDefault="00B77D2A" w:rsidP="00786575">
      <w:pPr>
        <w:pStyle w:val="Tekstprzypisudolnego"/>
        <w:jc w:val="both"/>
        <w:rPr>
          <w:sz w:val="22"/>
          <w:szCs w:val="22"/>
        </w:rPr>
      </w:pPr>
      <w:r w:rsidRPr="00DF28B6">
        <w:rPr>
          <w:rStyle w:val="Odwoanieprzypisudolnego"/>
          <w:sz w:val="22"/>
          <w:szCs w:val="22"/>
        </w:rPr>
        <w:footnoteRef/>
      </w:r>
      <w:r w:rsidRPr="00DF28B6">
        <w:rPr>
          <w:sz w:val="22"/>
          <w:szCs w:val="22"/>
        </w:rPr>
        <w:t xml:space="preserve"> Ustosunkowując  się do wspólnotowej aplikacji pojęcia godności kobiet Autorka pisze: ,,Od 1984 r. Rada Ministrów Unii Europejskiej w celu rozszerzenia równości szans dla kobiet powzięła, w oparciu o art. 235 Tra</w:t>
      </w:r>
      <w:r w:rsidRPr="00DF28B6">
        <w:rPr>
          <w:sz w:val="22"/>
          <w:szCs w:val="22"/>
        </w:rPr>
        <w:t>k</w:t>
      </w:r>
      <w:r w:rsidRPr="00DF28B6">
        <w:rPr>
          <w:sz w:val="22"/>
          <w:szCs w:val="22"/>
        </w:rPr>
        <w:t>tatu, zalecenie zachęcające kraje członkowskie do łączenia podejmowanych działań sprzyjających podnoszeniu społecznej roli kobiety z krokami zmierzającymi do zapewnienia posz</w:t>
      </w:r>
      <w:r w:rsidRPr="00DF28B6">
        <w:rPr>
          <w:sz w:val="22"/>
          <w:szCs w:val="22"/>
        </w:rPr>
        <w:t>a</w:t>
      </w:r>
      <w:r w:rsidRPr="00DF28B6">
        <w:rPr>
          <w:sz w:val="22"/>
          <w:szCs w:val="22"/>
        </w:rPr>
        <w:t>nowania godności kobiety w miejscu pracy. Przez krzewienie godności instytucje wspólnotowe dążą do zapewnienia ochrony kobiety w świecie pr</w:t>
      </w:r>
      <w:r w:rsidRPr="00DF28B6">
        <w:rPr>
          <w:sz w:val="22"/>
          <w:szCs w:val="22"/>
        </w:rPr>
        <w:t>a</w:t>
      </w:r>
      <w:r w:rsidRPr="00DF28B6">
        <w:rPr>
          <w:sz w:val="22"/>
          <w:szCs w:val="22"/>
        </w:rPr>
        <w:t xml:space="preserve">cy, zgodnie z postanowieniami rezolucji Parlamentu </w:t>
      </w:r>
      <w:r w:rsidRPr="005C1130">
        <w:rPr>
          <w:sz w:val="22"/>
          <w:szCs w:val="22"/>
        </w:rPr>
        <w:t>Europejskiego z 11 czerwca 1986 r. dotyczącej przemocy wobec kobiet”</w:t>
      </w:r>
      <w:r w:rsidR="00C6439E">
        <w:rPr>
          <w:sz w:val="22"/>
          <w:szCs w:val="22"/>
        </w:rPr>
        <w:t>.</w:t>
      </w:r>
    </w:p>
  </w:footnote>
  <w:footnote w:id="19">
    <w:p w14:paraId="72184DEE" w14:textId="796C9B8F" w:rsidR="00B77D2A" w:rsidRPr="005C1130" w:rsidRDefault="00B77D2A" w:rsidP="00786575">
      <w:pPr>
        <w:pStyle w:val="Tekstprzypisudolnego"/>
        <w:jc w:val="both"/>
        <w:rPr>
          <w:sz w:val="22"/>
          <w:szCs w:val="22"/>
        </w:rPr>
      </w:pPr>
      <w:r w:rsidRPr="005C1130">
        <w:rPr>
          <w:rStyle w:val="Odwoanieprzypisudolnego"/>
          <w:sz w:val="22"/>
          <w:szCs w:val="22"/>
        </w:rPr>
        <w:footnoteRef/>
      </w:r>
      <w:r w:rsidRPr="005C1130">
        <w:rPr>
          <w:sz w:val="22"/>
          <w:szCs w:val="22"/>
        </w:rPr>
        <w:t xml:space="preserve"> Projekt europejskiej konwencji dotyczącej zwalczania terroryzmu i handlu narkotykami stanowi: ,,organy, członkowie, przedstawiciele kierownictwa i funkcjonariusze Europolu oraz oficerowie łąc</w:t>
      </w:r>
      <w:r w:rsidRPr="005C1130">
        <w:rPr>
          <w:sz w:val="22"/>
          <w:szCs w:val="22"/>
        </w:rPr>
        <w:t>z</w:t>
      </w:r>
      <w:r w:rsidRPr="005C1130">
        <w:rPr>
          <w:sz w:val="22"/>
          <w:szCs w:val="22"/>
        </w:rPr>
        <w:t>nikowi zobowiązani są do powstrzymania się od wszelkich działań i wyrażania opinii mogących nar</w:t>
      </w:r>
      <w:r w:rsidRPr="005C1130">
        <w:rPr>
          <w:sz w:val="22"/>
          <w:szCs w:val="22"/>
        </w:rPr>
        <w:t>u</w:t>
      </w:r>
      <w:r w:rsidRPr="005C1130">
        <w:rPr>
          <w:sz w:val="22"/>
          <w:szCs w:val="22"/>
        </w:rPr>
        <w:t>szać godność Europolu lub szkodzić jego działalności”</w:t>
      </w:r>
      <w:r w:rsidR="00C6439E">
        <w:rPr>
          <w:sz w:val="22"/>
          <w:szCs w:val="22"/>
        </w:rPr>
        <w:t>.</w:t>
      </w:r>
    </w:p>
  </w:footnote>
  <w:footnote w:id="20">
    <w:p w14:paraId="2972A277" w14:textId="27FC39F5" w:rsidR="00B77D2A" w:rsidRPr="005C1130" w:rsidRDefault="00B77D2A" w:rsidP="00786575">
      <w:pPr>
        <w:pStyle w:val="Tekstprzypisudolnego"/>
        <w:jc w:val="both"/>
        <w:rPr>
          <w:sz w:val="22"/>
          <w:szCs w:val="22"/>
        </w:rPr>
      </w:pPr>
      <w:r w:rsidRPr="005C1130">
        <w:rPr>
          <w:rStyle w:val="Odwoanieprzypisudolnego"/>
          <w:sz w:val="22"/>
          <w:szCs w:val="22"/>
        </w:rPr>
        <w:footnoteRef/>
      </w:r>
      <w:r w:rsidRPr="005C1130">
        <w:rPr>
          <w:sz w:val="22"/>
          <w:szCs w:val="22"/>
        </w:rPr>
        <w:t xml:space="preserve"> W przepisie art. 12 ust. 1 Statutu wspólnotowej służby cywilnej czytamy: ,,urzędnik powinien wstrzymać się od wszelkich działań, a szczególnie wszelkiego publicznego wyrażania poglądów, które mogłyby naruszać god</w:t>
      </w:r>
      <w:r w:rsidR="00C6439E">
        <w:rPr>
          <w:sz w:val="22"/>
          <w:szCs w:val="22"/>
        </w:rPr>
        <w:t xml:space="preserve">ność jego urzędu”. </w:t>
      </w:r>
      <w:r w:rsidRPr="005C1130">
        <w:rPr>
          <w:sz w:val="22"/>
          <w:szCs w:val="22"/>
        </w:rPr>
        <w:t>Zob. także rozważania Autorki na temat godności przedsi</w:t>
      </w:r>
      <w:r w:rsidRPr="005C1130">
        <w:rPr>
          <w:sz w:val="22"/>
          <w:szCs w:val="22"/>
        </w:rPr>
        <w:t>ę</w:t>
      </w:r>
      <w:r w:rsidRPr="005C1130">
        <w:rPr>
          <w:sz w:val="22"/>
          <w:szCs w:val="22"/>
        </w:rPr>
        <w:t xml:space="preserve">biorstwa, </w:t>
      </w:r>
      <w:r w:rsidR="00C6439E">
        <w:rPr>
          <w:sz w:val="22"/>
          <w:szCs w:val="22"/>
        </w:rPr>
        <w:t>w pracy zbiorowej K. Complaka.</w:t>
      </w:r>
      <w:r w:rsidRPr="005C1130">
        <w:rPr>
          <w:sz w:val="22"/>
          <w:szCs w:val="22"/>
        </w:rPr>
        <w:t xml:space="preserve"> </w:t>
      </w:r>
    </w:p>
  </w:footnote>
  <w:footnote w:id="21">
    <w:p w14:paraId="2DCF8493" w14:textId="77777777" w:rsidR="00B77D2A" w:rsidRPr="00FC21E9" w:rsidRDefault="00B77D2A" w:rsidP="00786575">
      <w:pPr>
        <w:pStyle w:val="Tekstprzypisudolnego"/>
        <w:rPr>
          <w:sz w:val="22"/>
          <w:szCs w:val="22"/>
        </w:rPr>
      </w:pPr>
      <w:r w:rsidRPr="00FC21E9">
        <w:rPr>
          <w:rStyle w:val="Odwoanieprzypisudolnego"/>
          <w:sz w:val="22"/>
          <w:szCs w:val="22"/>
        </w:rPr>
        <w:footnoteRef/>
      </w:r>
      <w:r w:rsidRPr="00FC21E9">
        <w:rPr>
          <w:sz w:val="22"/>
          <w:szCs w:val="22"/>
        </w:rPr>
        <w:t xml:space="preserve"> Ratyfikowana przez Polskę została opublikowana w Dz. U. z 1994 r. Nr 12, poz. 607.</w:t>
      </w:r>
    </w:p>
  </w:footnote>
  <w:footnote w:id="22">
    <w:p w14:paraId="0D1DD0F9" w14:textId="77777777" w:rsidR="00B77D2A" w:rsidRPr="00FC21E9" w:rsidRDefault="00B77D2A" w:rsidP="00786575">
      <w:pPr>
        <w:pStyle w:val="Tekstprzypisudolnego"/>
        <w:jc w:val="both"/>
        <w:rPr>
          <w:sz w:val="22"/>
          <w:szCs w:val="22"/>
        </w:rPr>
      </w:pPr>
      <w:r w:rsidRPr="00FC21E9">
        <w:rPr>
          <w:rStyle w:val="Odwoanieprzypisudolnego"/>
          <w:sz w:val="22"/>
          <w:szCs w:val="22"/>
        </w:rPr>
        <w:footnoteRef/>
      </w:r>
      <w:r w:rsidRPr="00FC21E9">
        <w:rPr>
          <w:sz w:val="22"/>
          <w:szCs w:val="22"/>
        </w:rPr>
        <w:t xml:space="preserve"> Traktat ustanawiający Konstytucję dla Europy przyjęty przez Konwent Europejski 13 czerwca i 10 lipca 2003 r. nie uzyskał mocy obowiązującej z uwagi na negatywne wyniki referendum we Francji i Holandii.</w:t>
      </w:r>
    </w:p>
  </w:footnote>
  <w:footnote w:id="23">
    <w:p w14:paraId="6A442CC9" w14:textId="4971CA56" w:rsidR="00B77D2A" w:rsidRPr="00A35237" w:rsidRDefault="00B77D2A" w:rsidP="00786575">
      <w:pPr>
        <w:pStyle w:val="Tekstprzypisudolnego"/>
        <w:jc w:val="both"/>
        <w:rPr>
          <w:sz w:val="22"/>
          <w:szCs w:val="22"/>
        </w:rPr>
      </w:pPr>
      <w:r w:rsidRPr="00A35237">
        <w:rPr>
          <w:rStyle w:val="Odwoanieprzypisudolnego"/>
          <w:sz w:val="22"/>
          <w:szCs w:val="22"/>
        </w:rPr>
        <w:footnoteRef/>
      </w:r>
      <w:r w:rsidRPr="00A35237">
        <w:rPr>
          <w:sz w:val="22"/>
          <w:szCs w:val="22"/>
        </w:rPr>
        <w:t xml:space="preserve"> Subsydiarność jest zasadą podziału władzy (kompetencji, zadań, praw) o charakterze wertykalnym, dwukierunkowym : w dół – bliżej obywatela, w górę – bliżej instytucji państwowych.  Istotą tej zas</w:t>
      </w:r>
      <w:r w:rsidRPr="00A35237">
        <w:rPr>
          <w:sz w:val="22"/>
          <w:szCs w:val="22"/>
        </w:rPr>
        <w:t>a</w:t>
      </w:r>
      <w:r w:rsidRPr="00A35237">
        <w:rPr>
          <w:sz w:val="22"/>
          <w:szCs w:val="22"/>
        </w:rPr>
        <w:t>dy jest ,,takie ro</w:t>
      </w:r>
      <w:r w:rsidRPr="00A35237">
        <w:rPr>
          <w:sz w:val="22"/>
          <w:szCs w:val="22"/>
        </w:rPr>
        <w:t>z</w:t>
      </w:r>
      <w:r w:rsidRPr="00A35237">
        <w:rPr>
          <w:sz w:val="22"/>
          <w:szCs w:val="22"/>
        </w:rPr>
        <w:t>łożenie zadań publicznych, zgodnie z którym państwo jako całość wykonuje tylko te zadania, które nie mogą być zrealizowane przez swych obywateli lub przez ich wspólnoty lub organ</w:t>
      </w:r>
      <w:r w:rsidRPr="00A35237">
        <w:rPr>
          <w:sz w:val="22"/>
          <w:szCs w:val="22"/>
        </w:rPr>
        <w:t>i</w:t>
      </w:r>
      <w:r w:rsidRPr="00A35237">
        <w:rPr>
          <w:sz w:val="22"/>
          <w:szCs w:val="22"/>
        </w:rPr>
        <w:t>zacje”</w:t>
      </w:r>
      <w:r w:rsidR="00FC21E9" w:rsidRPr="00A35237">
        <w:rPr>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4468" w14:textId="77777777" w:rsidR="00B77D2A" w:rsidRDefault="00B77D2A" w:rsidP="00886D2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312160" w14:textId="77777777" w:rsidR="00B77D2A" w:rsidRDefault="00B77D2A" w:rsidP="00886D24">
    <w:pPr>
      <w:pStyle w:val="Nagwek"/>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7EFF" w14:textId="77777777" w:rsidR="00B77D2A" w:rsidRPr="0074121C" w:rsidRDefault="00B77D2A" w:rsidP="00886D24">
    <w:pPr>
      <w:pStyle w:val="Nagwek"/>
      <w:framePr w:wrap="around" w:vAnchor="text" w:hAnchor="margin" w:xAlign="right" w:y="1"/>
      <w:rPr>
        <w:rStyle w:val="Numerstrony"/>
        <w:sz w:val="20"/>
        <w:szCs w:val="20"/>
      </w:rPr>
    </w:pPr>
    <w:r w:rsidRPr="0074121C">
      <w:rPr>
        <w:rStyle w:val="Numerstrony"/>
        <w:sz w:val="20"/>
        <w:szCs w:val="20"/>
      </w:rPr>
      <w:fldChar w:fldCharType="begin"/>
    </w:r>
    <w:r w:rsidRPr="0074121C">
      <w:rPr>
        <w:rStyle w:val="Numerstrony"/>
        <w:sz w:val="20"/>
        <w:szCs w:val="20"/>
      </w:rPr>
      <w:instrText xml:space="preserve">PAGE  </w:instrText>
    </w:r>
    <w:r w:rsidRPr="0074121C">
      <w:rPr>
        <w:rStyle w:val="Numerstrony"/>
        <w:sz w:val="20"/>
        <w:szCs w:val="20"/>
      </w:rPr>
      <w:fldChar w:fldCharType="separate"/>
    </w:r>
    <w:r w:rsidR="005F7CE9">
      <w:rPr>
        <w:rStyle w:val="Numerstrony"/>
        <w:noProof/>
        <w:sz w:val="20"/>
        <w:szCs w:val="20"/>
      </w:rPr>
      <w:t>1</w:t>
    </w:r>
    <w:r w:rsidRPr="0074121C">
      <w:rPr>
        <w:rStyle w:val="Numerstrony"/>
        <w:sz w:val="20"/>
        <w:szCs w:val="20"/>
      </w:rPr>
      <w:fldChar w:fldCharType="end"/>
    </w:r>
  </w:p>
  <w:p w14:paraId="6912BF9F" w14:textId="77777777" w:rsidR="00B77D2A" w:rsidRDefault="00B77D2A" w:rsidP="00886D24">
    <w:pPr>
      <w:pStyle w:val="Nagwek"/>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1BE8"/>
    <w:multiLevelType w:val="hybridMultilevel"/>
    <w:tmpl w:val="5830B7BA"/>
    <w:lvl w:ilvl="0" w:tplc="1162512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autoHyphenation/>
  <w:hyphenationZone w:val="425"/>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75"/>
    <w:rsid w:val="0002780E"/>
    <w:rsid w:val="00031D5A"/>
    <w:rsid w:val="00057AF7"/>
    <w:rsid w:val="0008456C"/>
    <w:rsid w:val="000A0FCD"/>
    <w:rsid w:val="000A6CA7"/>
    <w:rsid w:val="000D5C66"/>
    <w:rsid w:val="000F5F87"/>
    <w:rsid w:val="00104E42"/>
    <w:rsid w:val="00117928"/>
    <w:rsid w:val="001470A0"/>
    <w:rsid w:val="001A7112"/>
    <w:rsid w:val="001B4A12"/>
    <w:rsid w:val="001E4B34"/>
    <w:rsid w:val="0023319D"/>
    <w:rsid w:val="002569EE"/>
    <w:rsid w:val="00275038"/>
    <w:rsid w:val="00292DCF"/>
    <w:rsid w:val="002A6464"/>
    <w:rsid w:val="00313EE2"/>
    <w:rsid w:val="00325D3B"/>
    <w:rsid w:val="003319A5"/>
    <w:rsid w:val="003471C1"/>
    <w:rsid w:val="00355F85"/>
    <w:rsid w:val="00387546"/>
    <w:rsid w:val="00387F1F"/>
    <w:rsid w:val="003A4649"/>
    <w:rsid w:val="003B126E"/>
    <w:rsid w:val="00400EF4"/>
    <w:rsid w:val="004552EF"/>
    <w:rsid w:val="0046012E"/>
    <w:rsid w:val="004953D7"/>
    <w:rsid w:val="004A24E0"/>
    <w:rsid w:val="004C24A2"/>
    <w:rsid w:val="0051299C"/>
    <w:rsid w:val="00527B68"/>
    <w:rsid w:val="00530FFC"/>
    <w:rsid w:val="00546F4D"/>
    <w:rsid w:val="00567A77"/>
    <w:rsid w:val="005C1130"/>
    <w:rsid w:val="005F7CE9"/>
    <w:rsid w:val="006329F2"/>
    <w:rsid w:val="00643505"/>
    <w:rsid w:val="0066394E"/>
    <w:rsid w:val="006D40D3"/>
    <w:rsid w:val="006F25AE"/>
    <w:rsid w:val="006F66A8"/>
    <w:rsid w:val="00701A15"/>
    <w:rsid w:val="0072076A"/>
    <w:rsid w:val="00786575"/>
    <w:rsid w:val="00806E8C"/>
    <w:rsid w:val="0082698F"/>
    <w:rsid w:val="008507F6"/>
    <w:rsid w:val="00851CED"/>
    <w:rsid w:val="00886D24"/>
    <w:rsid w:val="008C0318"/>
    <w:rsid w:val="008C0783"/>
    <w:rsid w:val="0093351E"/>
    <w:rsid w:val="00986EB8"/>
    <w:rsid w:val="009903A9"/>
    <w:rsid w:val="009E3A4B"/>
    <w:rsid w:val="00A3069D"/>
    <w:rsid w:val="00A35237"/>
    <w:rsid w:val="00A67B7F"/>
    <w:rsid w:val="00A740B0"/>
    <w:rsid w:val="00AA07BD"/>
    <w:rsid w:val="00AC11A8"/>
    <w:rsid w:val="00AC6658"/>
    <w:rsid w:val="00B45A9C"/>
    <w:rsid w:val="00B65899"/>
    <w:rsid w:val="00B717E1"/>
    <w:rsid w:val="00B77D2A"/>
    <w:rsid w:val="00BF6E05"/>
    <w:rsid w:val="00C6439E"/>
    <w:rsid w:val="00C7040B"/>
    <w:rsid w:val="00C71FAF"/>
    <w:rsid w:val="00C86E06"/>
    <w:rsid w:val="00C9185C"/>
    <w:rsid w:val="00CB289C"/>
    <w:rsid w:val="00D32053"/>
    <w:rsid w:val="00DF28B6"/>
    <w:rsid w:val="00DF2FC1"/>
    <w:rsid w:val="00E04AAD"/>
    <w:rsid w:val="00E27A89"/>
    <w:rsid w:val="00F02E75"/>
    <w:rsid w:val="00F63155"/>
    <w:rsid w:val="00F65AE8"/>
    <w:rsid w:val="00FC21E9"/>
    <w:rsid w:val="00FF050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62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575"/>
    <w:rPr>
      <w:rFonts w:eastAsia="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LNYPRZYPIS">
    <w:name w:val="DOLNY PRZYPIS"/>
    <w:basedOn w:val="Tekstprzypisudolnego"/>
    <w:autoRedefine/>
    <w:qFormat/>
    <w:rsid w:val="003319A5"/>
  </w:style>
  <w:style w:type="paragraph" w:styleId="Tekstprzypisudolnego">
    <w:name w:val="footnote text"/>
    <w:basedOn w:val="Normalny"/>
    <w:link w:val="TekstprzypisudolnegoZnak"/>
    <w:unhideWhenUsed/>
    <w:rsid w:val="0051299C"/>
    <w:rPr>
      <w:sz w:val="20"/>
    </w:rPr>
  </w:style>
  <w:style w:type="character" w:customStyle="1" w:styleId="TekstprzypisudolnegoZnak">
    <w:name w:val="Tekst przypisu dolnego Znak"/>
    <w:basedOn w:val="Domylnaczcionkaakapitu"/>
    <w:link w:val="Tekstprzypisudolnego"/>
    <w:uiPriority w:val="99"/>
    <w:rsid w:val="0051299C"/>
    <w:rPr>
      <w:rFonts w:ascii="Times New Roman" w:hAnsi="Times New Roman"/>
      <w:sz w:val="20"/>
      <w:lang w:val="pl-PL"/>
    </w:rPr>
  </w:style>
  <w:style w:type="paragraph" w:styleId="Nagwek">
    <w:name w:val="header"/>
    <w:basedOn w:val="Normalny"/>
    <w:link w:val="NagwekZnak"/>
    <w:rsid w:val="00786575"/>
    <w:pPr>
      <w:tabs>
        <w:tab w:val="center" w:pos="4536"/>
        <w:tab w:val="right" w:pos="9072"/>
      </w:tabs>
    </w:pPr>
  </w:style>
  <w:style w:type="character" w:customStyle="1" w:styleId="NagwekZnak">
    <w:name w:val="Nagłówek Znak"/>
    <w:basedOn w:val="Domylnaczcionkaakapitu"/>
    <w:link w:val="Nagwek"/>
    <w:rsid w:val="00786575"/>
    <w:rPr>
      <w:rFonts w:eastAsia="Times New Roman" w:cs="Times New Roman"/>
      <w:lang w:val="pl-PL"/>
    </w:rPr>
  </w:style>
  <w:style w:type="character" w:styleId="Numerstrony">
    <w:name w:val="page number"/>
    <w:basedOn w:val="Domylnaczcionkaakapitu"/>
    <w:rsid w:val="00786575"/>
  </w:style>
  <w:style w:type="paragraph" w:styleId="Stopka">
    <w:name w:val="footer"/>
    <w:basedOn w:val="Normalny"/>
    <w:link w:val="StopkaZnak"/>
    <w:rsid w:val="00786575"/>
    <w:pPr>
      <w:tabs>
        <w:tab w:val="center" w:pos="4536"/>
        <w:tab w:val="right" w:pos="9072"/>
      </w:tabs>
    </w:pPr>
  </w:style>
  <w:style w:type="character" w:customStyle="1" w:styleId="StopkaZnak">
    <w:name w:val="Stopka Znak"/>
    <w:basedOn w:val="Domylnaczcionkaakapitu"/>
    <w:link w:val="Stopka"/>
    <w:rsid w:val="00786575"/>
    <w:rPr>
      <w:rFonts w:eastAsia="Times New Roman" w:cs="Times New Roman"/>
      <w:lang w:val="pl-PL"/>
    </w:rPr>
  </w:style>
  <w:style w:type="character" w:styleId="Odwoanieprzypisudolnego">
    <w:name w:val="footnote reference"/>
    <w:semiHidden/>
    <w:rsid w:val="00786575"/>
    <w:rPr>
      <w:vertAlign w:val="superscript"/>
    </w:rPr>
  </w:style>
  <w:style w:type="paragraph" w:styleId="Tekstprzypisukocowego">
    <w:name w:val="endnote text"/>
    <w:basedOn w:val="Normalny"/>
    <w:link w:val="TekstprzypisukocowegoZnak"/>
    <w:semiHidden/>
    <w:rsid w:val="00786575"/>
    <w:rPr>
      <w:sz w:val="20"/>
      <w:szCs w:val="20"/>
    </w:rPr>
  </w:style>
  <w:style w:type="character" w:customStyle="1" w:styleId="TekstprzypisukocowegoZnak">
    <w:name w:val="Tekst przypisu końcowego Znak"/>
    <w:basedOn w:val="Domylnaczcionkaakapitu"/>
    <w:link w:val="Tekstprzypisukocowego"/>
    <w:semiHidden/>
    <w:rsid w:val="00786575"/>
    <w:rPr>
      <w:rFonts w:eastAsia="Times New Roman" w:cs="Times New Roman"/>
      <w:sz w:val="20"/>
      <w:szCs w:val="20"/>
      <w:lang w:val="pl-PL"/>
    </w:rPr>
  </w:style>
  <w:style w:type="character" w:styleId="Odwoanieprzypisukocowego">
    <w:name w:val="endnote reference"/>
    <w:semiHidden/>
    <w:rsid w:val="007865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575"/>
    <w:rPr>
      <w:rFonts w:eastAsia="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LNYPRZYPIS">
    <w:name w:val="DOLNY PRZYPIS"/>
    <w:basedOn w:val="Tekstprzypisudolnego"/>
    <w:autoRedefine/>
    <w:qFormat/>
    <w:rsid w:val="003319A5"/>
  </w:style>
  <w:style w:type="paragraph" w:styleId="Tekstprzypisudolnego">
    <w:name w:val="footnote text"/>
    <w:basedOn w:val="Normalny"/>
    <w:link w:val="TekstprzypisudolnegoZnak"/>
    <w:unhideWhenUsed/>
    <w:rsid w:val="0051299C"/>
    <w:rPr>
      <w:sz w:val="20"/>
    </w:rPr>
  </w:style>
  <w:style w:type="character" w:customStyle="1" w:styleId="TekstprzypisudolnegoZnak">
    <w:name w:val="Tekst przypisu dolnego Znak"/>
    <w:basedOn w:val="Domylnaczcionkaakapitu"/>
    <w:link w:val="Tekstprzypisudolnego"/>
    <w:uiPriority w:val="99"/>
    <w:rsid w:val="0051299C"/>
    <w:rPr>
      <w:rFonts w:ascii="Times New Roman" w:hAnsi="Times New Roman"/>
      <w:sz w:val="20"/>
      <w:lang w:val="pl-PL"/>
    </w:rPr>
  </w:style>
  <w:style w:type="paragraph" w:styleId="Nagwek">
    <w:name w:val="header"/>
    <w:basedOn w:val="Normalny"/>
    <w:link w:val="NagwekZnak"/>
    <w:rsid w:val="00786575"/>
    <w:pPr>
      <w:tabs>
        <w:tab w:val="center" w:pos="4536"/>
        <w:tab w:val="right" w:pos="9072"/>
      </w:tabs>
    </w:pPr>
  </w:style>
  <w:style w:type="character" w:customStyle="1" w:styleId="NagwekZnak">
    <w:name w:val="Nagłówek Znak"/>
    <w:basedOn w:val="Domylnaczcionkaakapitu"/>
    <w:link w:val="Nagwek"/>
    <w:rsid w:val="00786575"/>
    <w:rPr>
      <w:rFonts w:eastAsia="Times New Roman" w:cs="Times New Roman"/>
      <w:lang w:val="pl-PL"/>
    </w:rPr>
  </w:style>
  <w:style w:type="character" w:styleId="Numerstrony">
    <w:name w:val="page number"/>
    <w:basedOn w:val="Domylnaczcionkaakapitu"/>
    <w:rsid w:val="00786575"/>
  </w:style>
  <w:style w:type="paragraph" w:styleId="Stopka">
    <w:name w:val="footer"/>
    <w:basedOn w:val="Normalny"/>
    <w:link w:val="StopkaZnak"/>
    <w:rsid w:val="00786575"/>
    <w:pPr>
      <w:tabs>
        <w:tab w:val="center" w:pos="4536"/>
        <w:tab w:val="right" w:pos="9072"/>
      </w:tabs>
    </w:pPr>
  </w:style>
  <w:style w:type="character" w:customStyle="1" w:styleId="StopkaZnak">
    <w:name w:val="Stopka Znak"/>
    <w:basedOn w:val="Domylnaczcionkaakapitu"/>
    <w:link w:val="Stopka"/>
    <w:rsid w:val="00786575"/>
    <w:rPr>
      <w:rFonts w:eastAsia="Times New Roman" w:cs="Times New Roman"/>
      <w:lang w:val="pl-PL"/>
    </w:rPr>
  </w:style>
  <w:style w:type="character" w:styleId="Odwoanieprzypisudolnego">
    <w:name w:val="footnote reference"/>
    <w:semiHidden/>
    <w:rsid w:val="00786575"/>
    <w:rPr>
      <w:vertAlign w:val="superscript"/>
    </w:rPr>
  </w:style>
  <w:style w:type="paragraph" w:styleId="Tekstprzypisukocowego">
    <w:name w:val="endnote text"/>
    <w:basedOn w:val="Normalny"/>
    <w:link w:val="TekstprzypisukocowegoZnak"/>
    <w:semiHidden/>
    <w:rsid w:val="00786575"/>
    <w:rPr>
      <w:sz w:val="20"/>
      <w:szCs w:val="20"/>
    </w:rPr>
  </w:style>
  <w:style w:type="character" w:customStyle="1" w:styleId="TekstprzypisukocowegoZnak">
    <w:name w:val="Tekst przypisu końcowego Znak"/>
    <w:basedOn w:val="Domylnaczcionkaakapitu"/>
    <w:link w:val="Tekstprzypisukocowego"/>
    <w:semiHidden/>
    <w:rsid w:val="00786575"/>
    <w:rPr>
      <w:rFonts w:eastAsia="Times New Roman" w:cs="Times New Roman"/>
      <w:sz w:val="20"/>
      <w:szCs w:val="20"/>
      <w:lang w:val="pl-PL"/>
    </w:rPr>
  </w:style>
  <w:style w:type="character" w:styleId="Odwoanieprzypisukocowego">
    <w:name w:val="endnote reference"/>
    <w:semiHidden/>
    <w:rsid w:val="00786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17</Pages>
  <Words>5309</Words>
  <Characters>31857</Characters>
  <Application>Microsoft Macintosh Word</Application>
  <DocSecurity>0</DocSecurity>
  <Lines>265</Lines>
  <Paragraphs>74</Paragraphs>
  <ScaleCrop>false</ScaleCrop>
  <Company/>
  <LinksUpToDate>false</LinksUpToDate>
  <CharactersWithSpaces>37092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Szadok</dc:creator>
  <cp:keywords/>
  <dc:description/>
  <cp:lastModifiedBy>Aleksandra Szadok</cp:lastModifiedBy>
  <cp:revision>79</cp:revision>
  <dcterms:created xsi:type="dcterms:W3CDTF">2017-03-11T15:54:00Z</dcterms:created>
  <dcterms:modified xsi:type="dcterms:W3CDTF">2017-03-13T17:04:00Z</dcterms:modified>
</cp:coreProperties>
</file>