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E9" w:rsidRPr="00D009E9" w:rsidRDefault="00D009E9" w:rsidP="00D009E9">
      <w:pPr>
        <w:rPr>
          <w:lang w:val="en-US"/>
        </w:rPr>
      </w:pPr>
      <w:r>
        <w:rPr>
          <w:lang w:val="en-US"/>
        </w:rPr>
        <w:t>Mgr.</w:t>
      </w:r>
      <w:r w:rsidRPr="00D009E9">
        <w:rPr>
          <w:lang w:val="en-US"/>
        </w:rPr>
        <w:t xml:space="preserve"> Dorota Wieczorkowska</w:t>
      </w:r>
    </w:p>
    <w:p w:rsidR="00D009E9" w:rsidRPr="00D009E9" w:rsidRDefault="00D009E9" w:rsidP="00D009E9">
      <w:pPr>
        <w:rPr>
          <w:lang w:val="en-US"/>
        </w:rPr>
      </w:pPr>
      <w:r w:rsidRPr="00D009E9">
        <w:rPr>
          <w:lang w:val="en-US"/>
        </w:rPr>
        <w:t>Faculty of</w:t>
      </w:r>
      <w:r w:rsidR="00D82692">
        <w:rPr>
          <w:lang w:val="en-US"/>
        </w:rPr>
        <w:t xml:space="preserve"> Law, Administration and Economics</w:t>
      </w:r>
    </w:p>
    <w:p w:rsidR="00D009E9" w:rsidRDefault="00D009E9" w:rsidP="00D009E9">
      <w:pPr>
        <w:rPr>
          <w:lang w:val="en-US"/>
        </w:rPr>
      </w:pPr>
      <w:r>
        <w:rPr>
          <w:lang w:val="en-US"/>
        </w:rPr>
        <w:t>University of Wrocław</w:t>
      </w:r>
    </w:p>
    <w:p w:rsidR="00D009E9" w:rsidRDefault="00D009E9" w:rsidP="00D009E9">
      <w:pPr>
        <w:rPr>
          <w:lang w:val="en-US"/>
        </w:rPr>
      </w:pPr>
    </w:p>
    <w:p w:rsidR="00D009E9" w:rsidRDefault="00D009E9" w:rsidP="00D009E9">
      <w:pPr>
        <w:rPr>
          <w:lang w:val="en-US"/>
        </w:rPr>
      </w:pPr>
    </w:p>
    <w:p w:rsidR="00D009E9" w:rsidRPr="00D009E9" w:rsidRDefault="00D009E9" w:rsidP="00D009E9">
      <w:pPr>
        <w:rPr>
          <w:lang w:val="en-US"/>
        </w:rPr>
      </w:pPr>
    </w:p>
    <w:p w:rsidR="000E5ADC" w:rsidRPr="00D009E9" w:rsidRDefault="006E4BD4" w:rsidP="00BC1917">
      <w:pPr>
        <w:jc w:val="center"/>
        <w:rPr>
          <w:b/>
          <w:sz w:val="28"/>
          <w:lang w:val="en-US"/>
        </w:rPr>
      </w:pPr>
      <w:r w:rsidRPr="00D009E9">
        <w:rPr>
          <w:b/>
          <w:sz w:val="28"/>
          <w:lang w:val="en-US"/>
        </w:rPr>
        <w:t>EUROPEAN COMPANY LAW</w:t>
      </w:r>
    </w:p>
    <w:p w:rsidR="00BC1917" w:rsidRPr="00D009E9" w:rsidRDefault="006E4BD4" w:rsidP="00BC1917">
      <w:pPr>
        <w:jc w:val="center"/>
        <w:rPr>
          <w:b/>
          <w:sz w:val="28"/>
          <w:lang w:val="en-US"/>
        </w:rPr>
      </w:pPr>
      <w:r w:rsidRPr="00D009E9">
        <w:rPr>
          <w:b/>
          <w:sz w:val="28"/>
          <w:lang w:val="en-US"/>
        </w:rPr>
        <w:t>2018/2019</w:t>
      </w:r>
    </w:p>
    <w:p w:rsidR="00BC1917" w:rsidRPr="00D009E9" w:rsidRDefault="006E4BD4" w:rsidP="00BC1917">
      <w:pPr>
        <w:jc w:val="center"/>
        <w:rPr>
          <w:b/>
          <w:sz w:val="28"/>
          <w:lang w:val="en-US"/>
        </w:rPr>
      </w:pPr>
      <w:r w:rsidRPr="00D009E9">
        <w:rPr>
          <w:b/>
          <w:sz w:val="28"/>
          <w:lang w:val="en-US"/>
        </w:rPr>
        <w:t>CLASSES</w:t>
      </w:r>
    </w:p>
    <w:p w:rsidR="00BC1917" w:rsidRPr="00D009E9" w:rsidRDefault="00BC1917" w:rsidP="006E4BD4">
      <w:pPr>
        <w:rPr>
          <w:lang w:val="en-US"/>
        </w:rPr>
      </w:pPr>
    </w:p>
    <w:p w:rsidR="00BC1917" w:rsidRPr="00D009E9" w:rsidRDefault="00BC1917" w:rsidP="00BC1917">
      <w:pPr>
        <w:jc w:val="center"/>
        <w:rPr>
          <w:lang w:val="en-US"/>
        </w:rPr>
      </w:pPr>
    </w:p>
    <w:tbl>
      <w:tblPr>
        <w:tblStyle w:val="Tabela-Siatka"/>
        <w:tblW w:w="0" w:type="auto"/>
        <w:tblLook w:val="04A0" w:firstRow="1" w:lastRow="0" w:firstColumn="1" w:lastColumn="0" w:noHBand="0" w:noVBand="1"/>
      </w:tblPr>
      <w:tblGrid>
        <w:gridCol w:w="1838"/>
        <w:gridCol w:w="7218"/>
      </w:tblGrid>
      <w:tr w:rsidR="006964BF" w:rsidTr="00F06DD6">
        <w:tc>
          <w:tcPr>
            <w:tcW w:w="9056" w:type="dxa"/>
            <w:gridSpan w:val="2"/>
          </w:tcPr>
          <w:p w:rsidR="006964BF" w:rsidRPr="006E4BD4" w:rsidRDefault="006E4BD4" w:rsidP="006964BF">
            <w:pPr>
              <w:jc w:val="center"/>
              <w:rPr>
                <w:b/>
                <w:lang w:val="en-GB"/>
              </w:rPr>
            </w:pPr>
            <w:r w:rsidRPr="006E4BD4">
              <w:rPr>
                <w:b/>
                <w:sz w:val="28"/>
                <w:lang w:val="en-GB"/>
              </w:rPr>
              <w:t>PROGRAMME OF THE COURSE</w:t>
            </w:r>
          </w:p>
        </w:tc>
      </w:tr>
      <w:tr w:rsidR="006964BF" w:rsidRPr="006964BF" w:rsidTr="006964BF">
        <w:tc>
          <w:tcPr>
            <w:tcW w:w="1838" w:type="dxa"/>
          </w:tcPr>
          <w:p w:rsidR="006964BF" w:rsidRDefault="006964BF" w:rsidP="006964BF">
            <w:r>
              <w:t>26.02.2019</w:t>
            </w:r>
          </w:p>
        </w:tc>
        <w:tc>
          <w:tcPr>
            <w:tcW w:w="7218" w:type="dxa"/>
          </w:tcPr>
          <w:p w:rsidR="006964BF" w:rsidRDefault="006964BF" w:rsidP="006964BF">
            <w:pPr>
              <w:rPr>
                <w:lang w:val="en-US"/>
              </w:rPr>
            </w:pPr>
            <w:r>
              <w:rPr>
                <w:lang w:val="en-US"/>
              </w:rPr>
              <w:t>1. Course Schedule &amp; other information</w:t>
            </w:r>
          </w:p>
          <w:p w:rsidR="006964BF" w:rsidRPr="006964BF" w:rsidRDefault="006964BF" w:rsidP="006964BF">
            <w:pPr>
              <w:rPr>
                <w:lang w:val="en-GB"/>
              </w:rPr>
            </w:pPr>
            <w:r>
              <w:rPr>
                <w:lang w:val="en-US"/>
              </w:rPr>
              <w:t>2</w:t>
            </w:r>
            <w:r w:rsidRPr="006964BF">
              <w:rPr>
                <w:lang w:val="en-US"/>
              </w:rPr>
              <w:t xml:space="preserve">. </w:t>
            </w:r>
            <w:r w:rsidRPr="006964BF">
              <w:rPr>
                <w:lang w:val="en-GB"/>
              </w:rPr>
              <w:t>Introduction to</w:t>
            </w:r>
            <w:r>
              <w:rPr>
                <w:lang w:val="en-GB"/>
              </w:rPr>
              <w:t xml:space="preserve"> the</w:t>
            </w:r>
            <w:r w:rsidRPr="006964BF">
              <w:rPr>
                <w:lang w:val="en-GB"/>
              </w:rPr>
              <w:t xml:space="preserve"> European Company Law</w:t>
            </w:r>
          </w:p>
          <w:p w:rsidR="006964BF" w:rsidRPr="006964BF" w:rsidRDefault="006964BF" w:rsidP="006964BF">
            <w:pPr>
              <w:pStyle w:val="Akapitzlist"/>
              <w:numPr>
                <w:ilvl w:val="0"/>
                <w:numId w:val="2"/>
              </w:numPr>
              <w:rPr>
                <w:lang w:val="en-GB"/>
              </w:rPr>
            </w:pPr>
            <w:r w:rsidRPr="006964BF">
              <w:rPr>
                <w:lang w:val="en-GB"/>
              </w:rPr>
              <w:t xml:space="preserve">Sources </w:t>
            </w:r>
            <w:r>
              <w:rPr>
                <w:lang w:val="en-GB"/>
              </w:rPr>
              <w:t>of the</w:t>
            </w:r>
            <w:r w:rsidRPr="006964BF">
              <w:rPr>
                <w:lang w:val="en-GB"/>
              </w:rPr>
              <w:t xml:space="preserve"> European Company Law</w:t>
            </w:r>
          </w:p>
          <w:p w:rsidR="006964BF" w:rsidRPr="006964BF" w:rsidRDefault="006964BF" w:rsidP="006964BF">
            <w:pPr>
              <w:pStyle w:val="Akapitzlist"/>
              <w:numPr>
                <w:ilvl w:val="0"/>
                <w:numId w:val="2"/>
              </w:numPr>
              <w:rPr>
                <w:lang w:val="en-GB"/>
              </w:rPr>
            </w:pPr>
            <w:r w:rsidRPr="006964BF">
              <w:rPr>
                <w:lang w:val="en-GB"/>
              </w:rPr>
              <w:t>Main goals of the European Company Law</w:t>
            </w:r>
          </w:p>
        </w:tc>
      </w:tr>
      <w:tr w:rsidR="006964BF" w:rsidRPr="006964BF" w:rsidTr="006964BF">
        <w:tc>
          <w:tcPr>
            <w:tcW w:w="1838" w:type="dxa"/>
          </w:tcPr>
          <w:p w:rsidR="006964BF" w:rsidRPr="006964BF" w:rsidRDefault="006964BF" w:rsidP="006964BF">
            <w:pPr>
              <w:rPr>
                <w:lang w:val="en-US"/>
              </w:rPr>
            </w:pPr>
            <w:r>
              <w:rPr>
                <w:lang w:val="en-US"/>
              </w:rPr>
              <w:t>05.03.2019</w:t>
            </w:r>
          </w:p>
        </w:tc>
        <w:tc>
          <w:tcPr>
            <w:tcW w:w="7218" w:type="dxa"/>
          </w:tcPr>
          <w:p w:rsidR="006964BF" w:rsidRDefault="00FF0EB4" w:rsidP="006964BF">
            <w:pPr>
              <w:rPr>
                <w:lang w:val="en-US"/>
              </w:rPr>
            </w:pPr>
            <w:r>
              <w:rPr>
                <w:lang w:val="en-US"/>
              </w:rPr>
              <w:t>Basic terms and concepts concerning European Company Law</w:t>
            </w:r>
          </w:p>
          <w:p w:rsidR="00FF0EB4" w:rsidRDefault="00FF0EB4" w:rsidP="00FF0EB4">
            <w:pPr>
              <w:pStyle w:val="Akapitzlist"/>
              <w:numPr>
                <w:ilvl w:val="0"/>
                <w:numId w:val="3"/>
              </w:numPr>
              <w:rPr>
                <w:lang w:val="en-US"/>
              </w:rPr>
            </w:pPr>
            <w:r>
              <w:rPr>
                <w:lang w:val="en-US"/>
              </w:rPr>
              <w:t>Partnership</w:t>
            </w:r>
            <w:r w:rsidR="00E45552">
              <w:rPr>
                <w:lang w:val="en-US"/>
              </w:rPr>
              <w:t>s</w:t>
            </w:r>
            <w:r>
              <w:rPr>
                <w:lang w:val="en-US"/>
              </w:rPr>
              <w:t xml:space="preserve"> and corporation</w:t>
            </w:r>
            <w:r w:rsidR="00E45552">
              <w:rPr>
                <w:lang w:val="en-US"/>
              </w:rPr>
              <w:t>s</w:t>
            </w:r>
          </w:p>
          <w:p w:rsidR="003C7916" w:rsidRDefault="003C7916" w:rsidP="00FF0EB4">
            <w:pPr>
              <w:pStyle w:val="Akapitzlist"/>
              <w:numPr>
                <w:ilvl w:val="0"/>
                <w:numId w:val="3"/>
              </w:numPr>
              <w:rPr>
                <w:lang w:val="en-US"/>
              </w:rPr>
            </w:pPr>
            <w:r>
              <w:rPr>
                <w:lang w:val="en-US"/>
              </w:rPr>
              <w:t xml:space="preserve">Incorporation of the </w:t>
            </w:r>
            <w:r w:rsidRPr="003C7916">
              <w:rPr>
                <w:lang w:val="en-US"/>
              </w:rPr>
              <w:t xml:space="preserve">limited liability </w:t>
            </w:r>
            <w:r>
              <w:rPr>
                <w:lang w:val="en-US"/>
              </w:rPr>
              <w:t>company</w:t>
            </w:r>
          </w:p>
          <w:p w:rsidR="003C7916" w:rsidRDefault="003C7916" w:rsidP="00FF0EB4">
            <w:pPr>
              <w:pStyle w:val="Akapitzlist"/>
              <w:numPr>
                <w:ilvl w:val="0"/>
                <w:numId w:val="3"/>
              </w:numPr>
              <w:rPr>
                <w:lang w:val="en-US"/>
              </w:rPr>
            </w:pPr>
            <w:r>
              <w:rPr>
                <w:lang w:val="en-US"/>
              </w:rPr>
              <w:t>Statutes and instruments of incorporation</w:t>
            </w:r>
          </w:p>
          <w:p w:rsidR="003C7916" w:rsidRDefault="003C7916" w:rsidP="00FF0EB4">
            <w:pPr>
              <w:pStyle w:val="Akapitzlist"/>
              <w:numPr>
                <w:ilvl w:val="0"/>
                <w:numId w:val="3"/>
              </w:numPr>
              <w:rPr>
                <w:lang w:val="en-US"/>
              </w:rPr>
            </w:pPr>
            <w:r w:rsidRPr="003C7916">
              <w:rPr>
                <w:lang w:val="en-US"/>
              </w:rPr>
              <w:t>Nullity of the limited liability company and validity of its obligations</w:t>
            </w:r>
          </w:p>
          <w:p w:rsidR="00FF0EB4" w:rsidRDefault="00281F89" w:rsidP="00FF0EB4">
            <w:pPr>
              <w:pStyle w:val="Akapitzlist"/>
              <w:numPr>
                <w:ilvl w:val="0"/>
                <w:numId w:val="3"/>
              </w:numPr>
              <w:rPr>
                <w:lang w:val="en-US"/>
              </w:rPr>
            </w:pPr>
            <w:r>
              <w:rPr>
                <w:lang w:val="en-US"/>
              </w:rPr>
              <w:t xml:space="preserve">Official </w:t>
            </w:r>
            <w:r w:rsidR="003C7916">
              <w:rPr>
                <w:lang w:val="en-US"/>
              </w:rPr>
              <w:t xml:space="preserve">commercial and </w:t>
            </w:r>
            <w:r>
              <w:rPr>
                <w:lang w:val="en-US"/>
              </w:rPr>
              <w:t>company registers</w:t>
            </w:r>
          </w:p>
          <w:p w:rsidR="00895EDF" w:rsidRPr="00C212B6" w:rsidRDefault="003C7916" w:rsidP="00C212B6">
            <w:pPr>
              <w:pStyle w:val="Akapitzlist"/>
              <w:numPr>
                <w:ilvl w:val="0"/>
                <w:numId w:val="3"/>
              </w:numPr>
              <w:rPr>
                <w:lang w:val="en-US"/>
              </w:rPr>
            </w:pPr>
            <w:r>
              <w:rPr>
                <w:lang w:val="en-US"/>
              </w:rPr>
              <w:t xml:space="preserve">Capital </w:t>
            </w:r>
            <w:r w:rsidR="00895EDF">
              <w:rPr>
                <w:lang w:val="en-US"/>
              </w:rPr>
              <w:t>maintenance and alterations</w:t>
            </w:r>
          </w:p>
        </w:tc>
      </w:tr>
      <w:tr w:rsidR="006964BF" w:rsidRPr="006964BF" w:rsidTr="006964BF">
        <w:tc>
          <w:tcPr>
            <w:tcW w:w="1838" w:type="dxa"/>
          </w:tcPr>
          <w:p w:rsidR="006964BF" w:rsidRPr="006964BF" w:rsidRDefault="006964BF" w:rsidP="006964BF">
            <w:pPr>
              <w:rPr>
                <w:lang w:val="en-US"/>
              </w:rPr>
            </w:pPr>
            <w:r>
              <w:rPr>
                <w:lang w:val="en-US"/>
              </w:rPr>
              <w:t>12.03.2019</w:t>
            </w:r>
          </w:p>
        </w:tc>
        <w:tc>
          <w:tcPr>
            <w:tcW w:w="7218" w:type="dxa"/>
          </w:tcPr>
          <w:p w:rsidR="00281F89" w:rsidRPr="00281F89" w:rsidRDefault="00E45552" w:rsidP="00281F89">
            <w:pPr>
              <w:rPr>
                <w:lang w:val="en-US"/>
              </w:rPr>
            </w:pPr>
            <w:proofErr w:type="spellStart"/>
            <w:r>
              <w:rPr>
                <w:lang w:val="en-US"/>
              </w:rPr>
              <w:t>Societas</w:t>
            </w:r>
            <w:proofErr w:type="spellEnd"/>
            <w:r>
              <w:rPr>
                <w:lang w:val="en-US"/>
              </w:rPr>
              <w:t xml:space="preserve"> </w:t>
            </w:r>
            <w:proofErr w:type="spellStart"/>
            <w:r>
              <w:rPr>
                <w:lang w:val="en-US"/>
              </w:rPr>
              <w:t>Europea</w:t>
            </w:r>
            <w:proofErr w:type="spellEnd"/>
            <w:r w:rsidR="00C212B6">
              <w:rPr>
                <w:lang w:val="en-US"/>
              </w:rPr>
              <w:t xml:space="preserve"> (S</w:t>
            </w:r>
            <w:r w:rsidR="00281F89">
              <w:rPr>
                <w:lang w:val="en-US"/>
              </w:rPr>
              <w:t>E)</w:t>
            </w:r>
          </w:p>
          <w:p w:rsidR="00281F89" w:rsidRDefault="00281F89" w:rsidP="00E45552">
            <w:pPr>
              <w:pStyle w:val="Akapitzlist"/>
              <w:numPr>
                <w:ilvl w:val="0"/>
                <w:numId w:val="5"/>
              </w:numPr>
              <w:rPr>
                <w:lang w:val="en-US"/>
              </w:rPr>
            </w:pPr>
            <w:r>
              <w:rPr>
                <w:lang w:val="en-US"/>
              </w:rPr>
              <w:t xml:space="preserve">The concept </w:t>
            </w:r>
            <w:r w:rsidR="00C212B6">
              <w:rPr>
                <w:lang w:val="en-US"/>
              </w:rPr>
              <w:t xml:space="preserve">and purpose </w:t>
            </w:r>
            <w:r>
              <w:rPr>
                <w:lang w:val="en-US"/>
              </w:rPr>
              <w:t xml:space="preserve">of the </w:t>
            </w:r>
            <w:proofErr w:type="spellStart"/>
            <w:r>
              <w:rPr>
                <w:lang w:val="en-US"/>
              </w:rPr>
              <w:t>Societas</w:t>
            </w:r>
            <w:proofErr w:type="spellEnd"/>
            <w:r>
              <w:rPr>
                <w:lang w:val="en-US"/>
              </w:rPr>
              <w:t xml:space="preserve"> </w:t>
            </w:r>
            <w:proofErr w:type="spellStart"/>
            <w:r>
              <w:rPr>
                <w:lang w:val="en-US"/>
              </w:rPr>
              <w:t>Europea</w:t>
            </w:r>
            <w:proofErr w:type="spellEnd"/>
          </w:p>
          <w:p w:rsidR="00895EDF" w:rsidRDefault="00895EDF" w:rsidP="00E45552">
            <w:pPr>
              <w:pStyle w:val="Akapitzlist"/>
              <w:numPr>
                <w:ilvl w:val="0"/>
                <w:numId w:val="5"/>
              </w:numPr>
              <w:rPr>
                <w:lang w:val="en-US"/>
              </w:rPr>
            </w:pPr>
            <w:r>
              <w:rPr>
                <w:lang w:val="en-US"/>
              </w:rPr>
              <w:t>Law source,</w:t>
            </w:r>
          </w:p>
          <w:p w:rsidR="00E45552" w:rsidRDefault="00281F89" w:rsidP="00E45552">
            <w:pPr>
              <w:pStyle w:val="Akapitzlist"/>
              <w:numPr>
                <w:ilvl w:val="0"/>
                <w:numId w:val="5"/>
              </w:numPr>
              <w:rPr>
                <w:lang w:val="en-US"/>
              </w:rPr>
            </w:pPr>
            <w:r>
              <w:rPr>
                <w:lang w:val="en-US"/>
              </w:rPr>
              <w:t>Formation,</w:t>
            </w:r>
          </w:p>
          <w:p w:rsidR="00281F89" w:rsidRDefault="00281F89" w:rsidP="00E45552">
            <w:pPr>
              <w:pStyle w:val="Akapitzlist"/>
              <w:numPr>
                <w:ilvl w:val="0"/>
                <w:numId w:val="5"/>
              </w:numPr>
              <w:rPr>
                <w:lang w:val="en-US"/>
              </w:rPr>
            </w:pPr>
            <w:r>
              <w:rPr>
                <w:lang w:val="en-US"/>
              </w:rPr>
              <w:t>Minimum capital</w:t>
            </w:r>
            <w:r w:rsidR="00895EDF">
              <w:rPr>
                <w:lang w:val="en-US"/>
              </w:rPr>
              <w:t>,</w:t>
            </w:r>
          </w:p>
          <w:p w:rsidR="00281F89" w:rsidRDefault="00281F89" w:rsidP="00E45552">
            <w:pPr>
              <w:pStyle w:val="Akapitzlist"/>
              <w:numPr>
                <w:ilvl w:val="0"/>
                <w:numId w:val="5"/>
              </w:numPr>
              <w:rPr>
                <w:lang w:val="en-US"/>
              </w:rPr>
            </w:pPr>
            <w:r>
              <w:rPr>
                <w:lang w:val="en-US"/>
              </w:rPr>
              <w:t>Registered office</w:t>
            </w:r>
            <w:r w:rsidR="00895EDF">
              <w:rPr>
                <w:lang w:val="en-US"/>
              </w:rPr>
              <w:t>,</w:t>
            </w:r>
          </w:p>
          <w:p w:rsidR="00C212B6" w:rsidRDefault="00C212B6" w:rsidP="00E45552">
            <w:pPr>
              <w:pStyle w:val="Akapitzlist"/>
              <w:numPr>
                <w:ilvl w:val="0"/>
                <w:numId w:val="5"/>
              </w:numPr>
              <w:rPr>
                <w:lang w:val="en-US"/>
              </w:rPr>
            </w:pPr>
            <w:r>
              <w:rPr>
                <w:lang w:val="en-US"/>
              </w:rPr>
              <w:t>Inner structure,</w:t>
            </w:r>
          </w:p>
          <w:p w:rsidR="00C212B6" w:rsidRDefault="00C212B6" w:rsidP="00E45552">
            <w:pPr>
              <w:pStyle w:val="Akapitzlist"/>
              <w:numPr>
                <w:ilvl w:val="0"/>
                <w:numId w:val="5"/>
              </w:numPr>
              <w:rPr>
                <w:lang w:val="en-US"/>
              </w:rPr>
            </w:pPr>
            <w:r>
              <w:rPr>
                <w:lang w:val="en-US"/>
              </w:rPr>
              <w:t>Liability,</w:t>
            </w:r>
          </w:p>
          <w:p w:rsidR="00281F89" w:rsidRDefault="00281F89" w:rsidP="00E45552">
            <w:pPr>
              <w:pStyle w:val="Akapitzlist"/>
              <w:numPr>
                <w:ilvl w:val="0"/>
                <w:numId w:val="5"/>
              </w:numPr>
              <w:rPr>
                <w:lang w:val="en-US"/>
              </w:rPr>
            </w:pPr>
            <w:r>
              <w:rPr>
                <w:lang w:val="en-US"/>
              </w:rPr>
              <w:t>Statutes</w:t>
            </w:r>
            <w:r w:rsidR="00895EDF">
              <w:rPr>
                <w:lang w:val="en-US"/>
              </w:rPr>
              <w:t>,</w:t>
            </w:r>
          </w:p>
          <w:p w:rsidR="00281F89" w:rsidRPr="00E45552" w:rsidRDefault="00281F89" w:rsidP="00E45552">
            <w:pPr>
              <w:pStyle w:val="Akapitzlist"/>
              <w:numPr>
                <w:ilvl w:val="0"/>
                <w:numId w:val="5"/>
              </w:numPr>
              <w:rPr>
                <w:lang w:val="en-US"/>
              </w:rPr>
            </w:pPr>
            <w:r>
              <w:rPr>
                <w:lang w:val="en-US"/>
              </w:rPr>
              <w:t>Winding up and liquidation</w:t>
            </w:r>
            <w:r w:rsidR="00895EDF">
              <w:rPr>
                <w:lang w:val="en-US"/>
              </w:rPr>
              <w:t>,</w:t>
            </w:r>
          </w:p>
        </w:tc>
      </w:tr>
      <w:tr w:rsidR="006964BF" w:rsidRPr="006964BF" w:rsidTr="006964BF">
        <w:tc>
          <w:tcPr>
            <w:tcW w:w="1838" w:type="dxa"/>
          </w:tcPr>
          <w:p w:rsidR="006964BF" w:rsidRPr="006964BF" w:rsidRDefault="00FF0EB4" w:rsidP="006964BF">
            <w:pPr>
              <w:rPr>
                <w:lang w:val="en-US"/>
              </w:rPr>
            </w:pPr>
            <w:r>
              <w:rPr>
                <w:lang w:val="en-US"/>
              </w:rPr>
              <w:t>19.03.2019</w:t>
            </w:r>
          </w:p>
        </w:tc>
        <w:tc>
          <w:tcPr>
            <w:tcW w:w="7218" w:type="dxa"/>
          </w:tcPr>
          <w:p w:rsidR="006964BF" w:rsidRDefault="00281F89" w:rsidP="006964BF">
            <w:pPr>
              <w:rPr>
                <w:lang w:val="en-US"/>
              </w:rPr>
            </w:pPr>
            <w:r>
              <w:rPr>
                <w:lang w:val="en-US"/>
              </w:rPr>
              <w:t>European economic interest grouping</w:t>
            </w:r>
            <w:r w:rsidR="00C212B6">
              <w:rPr>
                <w:lang w:val="en-US"/>
              </w:rPr>
              <w:t xml:space="preserve"> (EEIG)</w:t>
            </w:r>
          </w:p>
          <w:p w:rsidR="003C7916" w:rsidRDefault="003C7916" w:rsidP="003C7916">
            <w:pPr>
              <w:pStyle w:val="Akapitzlist"/>
              <w:numPr>
                <w:ilvl w:val="0"/>
                <w:numId w:val="8"/>
              </w:numPr>
              <w:rPr>
                <w:lang w:val="en-US"/>
              </w:rPr>
            </w:pPr>
            <w:r>
              <w:rPr>
                <w:lang w:val="en-US"/>
              </w:rPr>
              <w:t xml:space="preserve">The concept </w:t>
            </w:r>
            <w:r w:rsidR="00C212B6">
              <w:rPr>
                <w:lang w:val="en-US"/>
              </w:rPr>
              <w:t xml:space="preserve">and purpose </w:t>
            </w:r>
            <w:r>
              <w:rPr>
                <w:lang w:val="en-US"/>
              </w:rPr>
              <w:t xml:space="preserve">of the </w:t>
            </w:r>
            <w:r w:rsidR="00895EDF">
              <w:rPr>
                <w:lang w:val="en-US"/>
              </w:rPr>
              <w:t>European economic interest grouping</w:t>
            </w:r>
          </w:p>
          <w:p w:rsidR="00895EDF" w:rsidRDefault="00895EDF" w:rsidP="00895EDF">
            <w:pPr>
              <w:pStyle w:val="Akapitzlist"/>
              <w:numPr>
                <w:ilvl w:val="0"/>
                <w:numId w:val="8"/>
              </w:numPr>
              <w:rPr>
                <w:lang w:val="en-US"/>
              </w:rPr>
            </w:pPr>
            <w:r>
              <w:rPr>
                <w:lang w:val="en-US"/>
              </w:rPr>
              <w:t>Law source,</w:t>
            </w:r>
          </w:p>
          <w:p w:rsidR="00895EDF" w:rsidRDefault="00895EDF" w:rsidP="00895EDF">
            <w:pPr>
              <w:pStyle w:val="Akapitzlist"/>
              <w:numPr>
                <w:ilvl w:val="0"/>
                <w:numId w:val="8"/>
              </w:numPr>
              <w:rPr>
                <w:lang w:val="en-US"/>
              </w:rPr>
            </w:pPr>
            <w:r>
              <w:rPr>
                <w:lang w:val="en-US"/>
              </w:rPr>
              <w:t xml:space="preserve">Formation, </w:t>
            </w:r>
          </w:p>
          <w:p w:rsidR="00C212B6" w:rsidRDefault="00C212B6" w:rsidP="00895EDF">
            <w:pPr>
              <w:pStyle w:val="Akapitzlist"/>
              <w:numPr>
                <w:ilvl w:val="0"/>
                <w:numId w:val="8"/>
              </w:numPr>
              <w:rPr>
                <w:lang w:val="en-US"/>
              </w:rPr>
            </w:pPr>
            <w:r>
              <w:rPr>
                <w:lang w:val="en-US"/>
              </w:rPr>
              <w:t>Contract of EEIG</w:t>
            </w:r>
          </w:p>
          <w:p w:rsidR="00895EDF" w:rsidRDefault="00C212B6" w:rsidP="00895EDF">
            <w:pPr>
              <w:pStyle w:val="Akapitzlist"/>
              <w:numPr>
                <w:ilvl w:val="0"/>
                <w:numId w:val="8"/>
              </w:numPr>
              <w:rPr>
                <w:lang w:val="en-US"/>
              </w:rPr>
            </w:pPr>
            <w:r>
              <w:rPr>
                <w:lang w:val="en-US"/>
              </w:rPr>
              <w:t>Registered office,</w:t>
            </w:r>
          </w:p>
          <w:p w:rsidR="00C212B6" w:rsidRDefault="00C212B6" w:rsidP="00895EDF">
            <w:pPr>
              <w:pStyle w:val="Akapitzlist"/>
              <w:numPr>
                <w:ilvl w:val="0"/>
                <w:numId w:val="8"/>
              </w:numPr>
              <w:rPr>
                <w:lang w:val="en-US"/>
              </w:rPr>
            </w:pPr>
            <w:r>
              <w:rPr>
                <w:lang w:val="en-US"/>
              </w:rPr>
              <w:t>Inner structure,</w:t>
            </w:r>
          </w:p>
          <w:p w:rsidR="00C212B6" w:rsidRPr="00C212B6" w:rsidRDefault="00C212B6" w:rsidP="00C212B6">
            <w:pPr>
              <w:pStyle w:val="Akapitzlist"/>
              <w:numPr>
                <w:ilvl w:val="0"/>
                <w:numId w:val="8"/>
              </w:numPr>
              <w:rPr>
                <w:lang w:val="en-US"/>
              </w:rPr>
            </w:pPr>
            <w:r>
              <w:rPr>
                <w:lang w:val="en-US"/>
              </w:rPr>
              <w:t>Liability,</w:t>
            </w:r>
          </w:p>
        </w:tc>
      </w:tr>
      <w:tr w:rsidR="006964BF" w:rsidRPr="006964BF" w:rsidTr="006964BF">
        <w:tc>
          <w:tcPr>
            <w:tcW w:w="1838" w:type="dxa"/>
          </w:tcPr>
          <w:p w:rsidR="006964BF" w:rsidRPr="006964BF" w:rsidRDefault="00FF0EB4" w:rsidP="006964BF">
            <w:pPr>
              <w:rPr>
                <w:lang w:val="en-US"/>
              </w:rPr>
            </w:pPr>
            <w:r>
              <w:rPr>
                <w:lang w:val="en-US"/>
              </w:rPr>
              <w:t>26.03.2019</w:t>
            </w:r>
          </w:p>
        </w:tc>
        <w:tc>
          <w:tcPr>
            <w:tcW w:w="7218" w:type="dxa"/>
          </w:tcPr>
          <w:p w:rsidR="006964BF" w:rsidRDefault="00281F89" w:rsidP="006964BF">
            <w:pPr>
              <w:rPr>
                <w:lang w:val="en-US"/>
              </w:rPr>
            </w:pPr>
            <w:r>
              <w:rPr>
                <w:lang w:val="en-US"/>
              </w:rPr>
              <w:t>Mergers and Divisions</w:t>
            </w:r>
          </w:p>
          <w:p w:rsidR="00C212B6" w:rsidRDefault="00C212B6" w:rsidP="00C212B6">
            <w:pPr>
              <w:pStyle w:val="Akapitzlist"/>
              <w:numPr>
                <w:ilvl w:val="0"/>
                <w:numId w:val="9"/>
              </w:numPr>
              <w:rPr>
                <w:lang w:val="en-US"/>
              </w:rPr>
            </w:pPr>
            <w:r>
              <w:rPr>
                <w:lang w:val="en-US"/>
              </w:rPr>
              <w:t>Merger by acquisition</w:t>
            </w:r>
          </w:p>
          <w:p w:rsidR="00C212B6" w:rsidRDefault="00C212B6" w:rsidP="00C212B6">
            <w:pPr>
              <w:pStyle w:val="Akapitzlist"/>
              <w:numPr>
                <w:ilvl w:val="0"/>
                <w:numId w:val="9"/>
              </w:numPr>
              <w:rPr>
                <w:lang w:val="en-US"/>
              </w:rPr>
            </w:pPr>
            <w:r>
              <w:rPr>
                <w:lang w:val="en-US"/>
              </w:rPr>
              <w:t xml:space="preserve">Merger by </w:t>
            </w:r>
            <w:r w:rsidRPr="00C212B6">
              <w:rPr>
                <w:lang w:val="en-US"/>
              </w:rPr>
              <w:t>the formation of a new company</w:t>
            </w:r>
          </w:p>
          <w:p w:rsidR="00C212B6" w:rsidRDefault="00C212B6" w:rsidP="00C212B6">
            <w:pPr>
              <w:pStyle w:val="Akapitzlist"/>
              <w:numPr>
                <w:ilvl w:val="0"/>
                <w:numId w:val="9"/>
              </w:numPr>
              <w:rPr>
                <w:lang w:val="en-US"/>
              </w:rPr>
            </w:pPr>
            <w:r>
              <w:rPr>
                <w:lang w:val="en-US"/>
              </w:rPr>
              <w:t>Cross-border mergers</w:t>
            </w:r>
          </w:p>
          <w:p w:rsidR="00C212B6" w:rsidRDefault="00C212B6" w:rsidP="00C212B6">
            <w:pPr>
              <w:pStyle w:val="Akapitzlist"/>
              <w:numPr>
                <w:ilvl w:val="0"/>
                <w:numId w:val="9"/>
              </w:numPr>
              <w:rPr>
                <w:lang w:val="en-US"/>
              </w:rPr>
            </w:pPr>
            <w:r>
              <w:rPr>
                <w:lang w:val="en-US"/>
              </w:rPr>
              <w:t>Division by acquisition</w:t>
            </w:r>
          </w:p>
          <w:p w:rsidR="00C212B6" w:rsidRPr="00C212B6" w:rsidRDefault="00C212B6" w:rsidP="00C212B6">
            <w:pPr>
              <w:pStyle w:val="Akapitzlist"/>
              <w:numPr>
                <w:ilvl w:val="0"/>
                <w:numId w:val="9"/>
              </w:numPr>
              <w:rPr>
                <w:lang w:val="en-US"/>
              </w:rPr>
            </w:pPr>
            <w:r w:rsidRPr="00C212B6">
              <w:rPr>
                <w:lang w:val="en-US"/>
              </w:rPr>
              <w:t>Division by the formation of new companies</w:t>
            </w:r>
          </w:p>
        </w:tc>
      </w:tr>
      <w:tr w:rsidR="006964BF" w:rsidRPr="006964BF" w:rsidTr="006964BF">
        <w:tc>
          <w:tcPr>
            <w:tcW w:w="1838" w:type="dxa"/>
          </w:tcPr>
          <w:p w:rsidR="006964BF" w:rsidRPr="006964BF" w:rsidRDefault="00FF0EB4" w:rsidP="006964BF">
            <w:pPr>
              <w:rPr>
                <w:lang w:val="en-US"/>
              </w:rPr>
            </w:pPr>
            <w:r>
              <w:rPr>
                <w:lang w:val="en-US"/>
              </w:rPr>
              <w:t>02.04.2019</w:t>
            </w:r>
          </w:p>
        </w:tc>
        <w:tc>
          <w:tcPr>
            <w:tcW w:w="7218" w:type="dxa"/>
          </w:tcPr>
          <w:p w:rsidR="006964BF" w:rsidRDefault="00281F89" w:rsidP="006964BF">
            <w:pPr>
              <w:rPr>
                <w:lang w:val="en-US"/>
              </w:rPr>
            </w:pPr>
            <w:r>
              <w:rPr>
                <w:lang w:val="en-US"/>
              </w:rPr>
              <w:t>Case Law:</w:t>
            </w:r>
          </w:p>
          <w:p w:rsidR="00D009E9" w:rsidRDefault="00281F89" w:rsidP="00D009E9">
            <w:pPr>
              <w:pStyle w:val="Akapitzlist"/>
              <w:numPr>
                <w:ilvl w:val="0"/>
                <w:numId w:val="7"/>
              </w:numPr>
              <w:rPr>
                <w:rFonts w:asciiTheme="minorHAnsi" w:hAnsiTheme="minorHAnsi" w:cstheme="minorHAnsi"/>
              </w:rPr>
            </w:pPr>
            <w:r w:rsidRPr="00281F89">
              <w:rPr>
                <w:rFonts w:asciiTheme="minorHAnsi" w:hAnsiTheme="minorHAnsi" w:cstheme="minorHAnsi"/>
                <w:lang w:val="en-US"/>
              </w:rPr>
              <w:t>CENTROS (</w:t>
            </w:r>
            <w:r w:rsidRPr="00281F89">
              <w:rPr>
                <w:rFonts w:asciiTheme="minorHAnsi" w:hAnsiTheme="minorHAnsi" w:cstheme="minorHAnsi"/>
                <w:shd w:val="clear" w:color="auto" w:fill="FFFFFF"/>
              </w:rPr>
              <w:t>Case C-212/97</w:t>
            </w:r>
            <w:r w:rsidRPr="00281F89">
              <w:rPr>
                <w:rFonts w:asciiTheme="minorHAnsi" w:hAnsiTheme="minorHAnsi" w:cstheme="minorHAnsi"/>
              </w:rPr>
              <w:t>)</w:t>
            </w:r>
          </w:p>
          <w:p w:rsidR="00D009E9" w:rsidRPr="00D009E9" w:rsidRDefault="00D009E9" w:rsidP="00D009E9">
            <w:pPr>
              <w:pStyle w:val="Akapitzlist"/>
              <w:numPr>
                <w:ilvl w:val="0"/>
                <w:numId w:val="7"/>
              </w:numPr>
              <w:rPr>
                <w:rFonts w:asciiTheme="minorHAnsi" w:hAnsiTheme="minorHAnsi" w:cstheme="minorHAnsi"/>
              </w:rPr>
            </w:pPr>
            <w:r w:rsidRPr="00D009E9">
              <w:rPr>
                <w:rFonts w:asciiTheme="minorHAnsi" w:hAnsiTheme="minorHAnsi" w:cstheme="minorHAnsi"/>
              </w:rPr>
              <w:lastRenderedPageBreak/>
              <w:t>KAMER VAN KOOPHANDEL (</w:t>
            </w:r>
            <w:r w:rsidRPr="00D009E9">
              <w:rPr>
                <w:rFonts w:ascii="Arial" w:hAnsi="Arial" w:cs="Arial"/>
                <w:color w:val="222222"/>
                <w:sz w:val="21"/>
                <w:szCs w:val="21"/>
                <w:shd w:val="clear" w:color="auto" w:fill="FFFFFF"/>
              </w:rPr>
              <w:t>C-167/01</w:t>
            </w:r>
            <w:r w:rsidRPr="00D009E9">
              <w:rPr>
                <w:rFonts w:ascii="Times New Roman" w:hAnsi="Times New Roman"/>
                <w:sz w:val="24"/>
                <w:szCs w:val="24"/>
              </w:rPr>
              <w:t>)</w:t>
            </w:r>
          </w:p>
          <w:p w:rsidR="00D009E9" w:rsidRDefault="00D009E9" w:rsidP="00281F89">
            <w:pPr>
              <w:pStyle w:val="Akapitzlist"/>
              <w:numPr>
                <w:ilvl w:val="0"/>
                <w:numId w:val="7"/>
              </w:numPr>
              <w:rPr>
                <w:rFonts w:asciiTheme="minorHAnsi" w:hAnsiTheme="minorHAnsi" w:cstheme="minorHAnsi"/>
              </w:rPr>
            </w:pPr>
            <w:r w:rsidRPr="00D009E9">
              <w:rPr>
                <w:rFonts w:asciiTheme="minorHAnsi" w:hAnsiTheme="minorHAnsi" w:cstheme="minorHAnsi"/>
              </w:rPr>
              <w:t>ÜBERSEERING</w:t>
            </w:r>
            <w:r>
              <w:rPr>
                <w:rFonts w:asciiTheme="minorHAnsi" w:hAnsiTheme="minorHAnsi" w:cstheme="minorHAnsi"/>
              </w:rPr>
              <w:t xml:space="preserve"> (Case </w:t>
            </w:r>
            <w:r w:rsidRPr="00D009E9">
              <w:rPr>
                <w:rFonts w:asciiTheme="minorHAnsi" w:hAnsiTheme="minorHAnsi" w:cstheme="minorHAnsi"/>
              </w:rPr>
              <w:t>C-208/00</w:t>
            </w:r>
            <w:r>
              <w:rPr>
                <w:rFonts w:asciiTheme="minorHAnsi" w:hAnsiTheme="minorHAnsi" w:cstheme="minorHAnsi"/>
              </w:rPr>
              <w:t>)</w:t>
            </w:r>
          </w:p>
          <w:p w:rsidR="00281F89" w:rsidRPr="00281F89" w:rsidRDefault="00D009E9" w:rsidP="00281F89">
            <w:pPr>
              <w:pStyle w:val="Akapitzlist"/>
              <w:numPr>
                <w:ilvl w:val="0"/>
                <w:numId w:val="7"/>
              </w:numPr>
              <w:rPr>
                <w:rFonts w:asciiTheme="minorHAnsi" w:hAnsiTheme="minorHAnsi" w:cstheme="minorHAnsi"/>
              </w:rPr>
            </w:pPr>
            <w:r>
              <w:rPr>
                <w:rFonts w:asciiTheme="minorHAnsi" w:hAnsiTheme="minorHAnsi" w:cstheme="minorHAnsi"/>
              </w:rPr>
              <w:t xml:space="preserve">POLBUD (Case </w:t>
            </w:r>
            <w:r w:rsidRPr="00D009E9">
              <w:rPr>
                <w:rFonts w:asciiTheme="minorHAnsi" w:hAnsiTheme="minorHAnsi" w:cstheme="minorHAnsi"/>
              </w:rPr>
              <w:t>C-106/16</w:t>
            </w:r>
            <w:r>
              <w:rPr>
                <w:rFonts w:asciiTheme="minorHAnsi" w:hAnsiTheme="minorHAnsi" w:cstheme="minorHAnsi"/>
              </w:rPr>
              <w:t>)</w:t>
            </w:r>
          </w:p>
        </w:tc>
      </w:tr>
      <w:tr w:rsidR="006964BF" w:rsidRPr="006964BF" w:rsidTr="006964BF">
        <w:tc>
          <w:tcPr>
            <w:tcW w:w="1838" w:type="dxa"/>
          </w:tcPr>
          <w:p w:rsidR="006964BF" w:rsidRPr="006964BF" w:rsidRDefault="00FF0EB4" w:rsidP="006964BF">
            <w:pPr>
              <w:rPr>
                <w:lang w:val="en-US"/>
              </w:rPr>
            </w:pPr>
            <w:r>
              <w:rPr>
                <w:lang w:val="en-US"/>
              </w:rPr>
              <w:lastRenderedPageBreak/>
              <w:t>09.04.2019</w:t>
            </w:r>
          </w:p>
        </w:tc>
        <w:tc>
          <w:tcPr>
            <w:tcW w:w="7218" w:type="dxa"/>
          </w:tcPr>
          <w:p w:rsidR="006964BF" w:rsidRPr="006964BF" w:rsidRDefault="00281F89" w:rsidP="006964BF">
            <w:pPr>
              <w:rPr>
                <w:lang w:val="en-US"/>
              </w:rPr>
            </w:pPr>
            <w:r>
              <w:rPr>
                <w:lang w:val="en-US"/>
              </w:rPr>
              <w:t>Recap classes</w:t>
            </w:r>
          </w:p>
        </w:tc>
      </w:tr>
      <w:tr w:rsidR="006E4BD4" w:rsidRPr="006964BF" w:rsidTr="003475CC">
        <w:tc>
          <w:tcPr>
            <w:tcW w:w="9056" w:type="dxa"/>
            <w:gridSpan w:val="2"/>
          </w:tcPr>
          <w:p w:rsidR="006E4BD4" w:rsidRPr="006E4BD4" w:rsidRDefault="006E4BD4" w:rsidP="006E4BD4">
            <w:pPr>
              <w:jc w:val="center"/>
              <w:rPr>
                <w:b/>
                <w:lang w:val="en-US"/>
              </w:rPr>
            </w:pPr>
            <w:r w:rsidRPr="006E4BD4">
              <w:rPr>
                <w:b/>
                <w:sz w:val="28"/>
                <w:lang w:val="en-US"/>
              </w:rPr>
              <w:t>REQUIREMENTS FOR PASSING THE COURSE</w:t>
            </w:r>
          </w:p>
        </w:tc>
      </w:tr>
      <w:tr w:rsidR="006E4BD4" w:rsidRPr="006964BF" w:rsidTr="0098446D">
        <w:tc>
          <w:tcPr>
            <w:tcW w:w="9056" w:type="dxa"/>
            <w:gridSpan w:val="2"/>
          </w:tcPr>
          <w:p w:rsidR="006E4BD4" w:rsidRPr="006E4BD4" w:rsidRDefault="006E4BD4" w:rsidP="006E4BD4">
            <w:pPr>
              <w:pStyle w:val="NormalnyWeb"/>
              <w:numPr>
                <w:ilvl w:val="0"/>
                <w:numId w:val="4"/>
              </w:numPr>
              <w:rPr>
                <w:rFonts w:asciiTheme="minorHAnsi" w:hAnsiTheme="minorHAnsi" w:cstheme="minorHAnsi"/>
                <w:lang w:val="en-US"/>
              </w:rPr>
            </w:pPr>
            <w:r w:rsidRPr="006E4BD4">
              <w:rPr>
                <w:rFonts w:asciiTheme="minorHAnsi" w:hAnsiTheme="minorHAnsi" w:cstheme="minorHAnsi"/>
                <w:b/>
                <w:sz w:val="22"/>
                <w:szCs w:val="22"/>
                <w:lang w:val="en-US"/>
              </w:rPr>
              <w:t>Attendance</w:t>
            </w:r>
            <w:r w:rsidRPr="006E4BD4">
              <w:rPr>
                <w:rFonts w:asciiTheme="minorHAnsi" w:hAnsiTheme="minorHAnsi" w:cstheme="minorHAnsi"/>
                <w:sz w:val="22"/>
                <w:szCs w:val="22"/>
                <w:lang w:val="en-US"/>
              </w:rPr>
              <w:t xml:space="preserve"> – each student is entitled to one absence during the classes. Any additional absence, regardless of the cause, must be covered by passing the material discussed during the class in two weeks term from the day of the absence, during the office hours. Absence during more than 50% of the classes results into not receiving credits for the course (NC - Not Credited). </w:t>
            </w:r>
          </w:p>
          <w:p w:rsidR="006E4BD4" w:rsidRPr="006E4BD4" w:rsidRDefault="006E4BD4" w:rsidP="006E4BD4">
            <w:pPr>
              <w:pStyle w:val="NormalnyWeb"/>
              <w:numPr>
                <w:ilvl w:val="0"/>
                <w:numId w:val="4"/>
              </w:numPr>
              <w:rPr>
                <w:rFonts w:asciiTheme="minorHAnsi" w:hAnsiTheme="minorHAnsi" w:cstheme="minorHAnsi"/>
              </w:rPr>
            </w:pPr>
            <w:r w:rsidRPr="006E4BD4">
              <w:rPr>
                <w:rFonts w:asciiTheme="minorHAnsi" w:hAnsiTheme="minorHAnsi" w:cstheme="minorHAnsi"/>
                <w:b/>
                <w:sz w:val="22"/>
                <w:szCs w:val="22"/>
              </w:rPr>
              <w:t xml:space="preserve">Active </w:t>
            </w:r>
            <w:proofErr w:type="spellStart"/>
            <w:r w:rsidRPr="006E4BD4">
              <w:rPr>
                <w:rFonts w:asciiTheme="minorHAnsi" w:hAnsiTheme="minorHAnsi" w:cstheme="minorHAnsi"/>
                <w:b/>
                <w:sz w:val="22"/>
                <w:szCs w:val="22"/>
              </w:rPr>
              <w:t>participation</w:t>
            </w:r>
            <w:proofErr w:type="spellEnd"/>
            <w:r w:rsidRPr="006E4BD4">
              <w:rPr>
                <w:rFonts w:asciiTheme="minorHAnsi" w:hAnsiTheme="minorHAnsi" w:cstheme="minorHAnsi"/>
                <w:b/>
                <w:sz w:val="22"/>
                <w:szCs w:val="22"/>
              </w:rPr>
              <w:t xml:space="preserve"> in </w:t>
            </w:r>
            <w:proofErr w:type="spellStart"/>
            <w:r w:rsidRPr="006E4BD4">
              <w:rPr>
                <w:rFonts w:asciiTheme="minorHAnsi" w:hAnsiTheme="minorHAnsi" w:cstheme="minorHAnsi"/>
                <w:b/>
                <w:sz w:val="22"/>
                <w:szCs w:val="22"/>
              </w:rPr>
              <w:t>classes</w:t>
            </w:r>
            <w:proofErr w:type="spellEnd"/>
            <w:r w:rsidRPr="006E4BD4">
              <w:rPr>
                <w:rFonts w:asciiTheme="minorHAnsi" w:hAnsiTheme="minorHAnsi" w:cstheme="minorHAnsi"/>
                <w:sz w:val="22"/>
                <w:szCs w:val="22"/>
              </w:rPr>
              <w:t xml:space="preserve">. </w:t>
            </w:r>
          </w:p>
          <w:p w:rsidR="006E4BD4" w:rsidRPr="006E4BD4" w:rsidRDefault="006E4BD4" w:rsidP="006E4BD4">
            <w:pPr>
              <w:pStyle w:val="NormalnyWeb"/>
              <w:numPr>
                <w:ilvl w:val="0"/>
                <w:numId w:val="4"/>
              </w:numPr>
              <w:rPr>
                <w:rFonts w:asciiTheme="minorHAnsi" w:hAnsiTheme="minorHAnsi" w:cstheme="minorHAnsi"/>
                <w:lang w:val="en-US"/>
              </w:rPr>
            </w:pPr>
            <w:r w:rsidRPr="006E4BD4">
              <w:rPr>
                <w:rFonts w:asciiTheme="minorHAnsi" w:hAnsiTheme="minorHAnsi" w:cstheme="minorHAnsi"/>
                <w:b/>
                <w:sz w:val="22"/>
                <w:szCs w:val="22"/>
                <w:lang w:val="en-US"/>
              </w:rPr>
              <w:t>Presentation / essay</w:t>
            </w:r>
            <w:r w:rsidRPr="006E4BD4">
              <w:rPr>
                <w:rFonts w:asciiTheme="minorHAnsi" w:hAnsiTheme="minorHAnsi" w:cstheme="minorHAnsi"/>
                <w:sz w:val="22"/>
                <w:szCs w:val="22"/>
                <w:lang w:val="en-US"/>
              </w:rPr>
              <w:t xml:space="preserve"> – each student is obliged to prepare a presentation or a short essay according to the formal requiremen</w:t>
            </w:r>
            <w:r w:rsidR="00D82692">
              <w:rPr>
                <w:rFonts w:asciiTheme="minorHAnsi" w:hAnsiTheme="minorHAnsi" w:cstheme="minorHAnsi"/>
                <w:sz w:val="22"/>
                <w:szCs w:val="22"/>
                <w:lang w:val="en-US"/>
              </w:rPr>
              <w:t>ts set forth during the classes</w:t>
            </w:r>
            <w:r w:rsidRPr="006E4BD4">
              <w:rPr>
                <w:rFonts w:asciiTheme="minorHAnsi" w:hAnsiTheme="minorHAnsi" w:cstheme="minorHAnsi"/>
                <w:sz w:val="22"/>
                <w:szCs w:val="22"/>
                <w:lang w:val="en-US"/>
              </w:rPr>
              <w:t xml:space="preserve">. </w:t>
            </w:r>
          </w:p>
          <w:p w:rsidR="006E4BD4" w:rsidRPr="00240075" w:rsidRDefault="006E4BD4" w:rsidP="00D82692">
            <w:pPr>
              <w:pStyle w:val="NormalnyWeb"/>
              <w:numPr>
                <w:ilvl w:val="0"/>
                <w:numId w:val="4"/>
              </w:numPr>
              <w:rPr>
                <w:rFonts w:asciiTheme="minorHAnsi" w:hAnsiTheme="minorHAnsi" w:cstheme="minorHAnsi"/>
                <w:lang w:val="en-US"/>
              </w:rPr>
            </w:pPr>
            <w:r w:rsidRPr="006E4BD4">
              <w:rPr>
                <w:rFonts w:asciiTheme="minorHAnsi" w:hAnsiTheme="minorHAnsi" w:cstheme="minorHAnsi"/>
                <w:b/>
                <w:sz w:val="22"/>
                <w:szCs w:val="22"/>
                <w:lang w:val="en-US"/>
              </w:rPr>
              <w:t>Short tests</w:t>
            </w:r>
            <w:r w:rsidRPr="006E4BD4">
              <w:rPr>
                <w:rFonts w:asciiTheme="minorHAnsi" w:hAnsiTheme="minorHAnsi" w:cstheme="minorHAnsi"/>
                <w:sz w:val="22"/>
                <w:szCs w:val="22"/>
                <w:lang w:val="en-US"/>
              </w:rPr>
              <w:t xml:space="preserve"> – each class will start with </w:t>
            </w:r>
            <w:r w:rsidR="00D82692">
              <w:rPr>
                <w:rFonts w:asciiTheme="minorHAnsi" w:hAnsiTheme="minorHAnsi" w:cstheme="minorHAnsi"/>
                <w:sz w:val="22"/>
                <w:szCs w:val="22"/>
                <w:lang w:val="en-US"/>
              </w:rPr>
              <w:t xml:space="preserve">a </w:t>
            </w:r>
            <w:r w:rsidRPr="006E4BD4">
              <w:rPr>
                <w:rFonts w:asciiTheme="minorHAnsi" w:hAnsiTheme="minorHAnsi" w:cstheme="minorHAnsi"/>
                <w:sz w:val="22"/>
                <w:szCs w:val="22"/>
                <w:lang w:val="en-US"/>
              </w:rPr>
              <w:t>short test (5 questions) concerning topics discusse</w:t>
            </w:r>
            <w:r w:rsidR="00D82692">
              <w:rPr>
                <w:rFonts w:asciiTheme="minorHAnsi" w:hAnsiTheme="minorHAnsi" w:cstheme="minorHAnsi"/>
                <w:sz w:val="22"/>
                <w:szCs w:val="22"/>
                <w:lang w:val="en-US"/>
              </w:rPr>
              <w:t>d during the previous classes; In order to get</w:t>
            </w:r>
            <w:r w:rsidRPr="006E4BD4">
              <w:rPr>
                <w:rFonts w:asciiTheme="minorHAnsi" w:hAnsiTheme="minorHAnsi" w:cstheme="minorHAnsi"/>
                <w:sz w:val="22"/>
                <w:szCs w:val="22"/>
                <w:lang w:val="en-US"/>
              </w:rPr>
              <w:t xml:space="preserve"> credit from the short test</w:t>
            </w:r>
            <w:r w:rsidR="00D82692">
              <w:rPr>
                <w:rFonts w:asciiTheme="minorHAnsi" w:hAnsiTheme="minorHAnsi" w:cstheme="minorHAnsi"/>
                <w:sz w:val="22"/>
                <w:szCs w:val="22"/>
                <w:lang w:val="en-US"/>
              </w:rPr>
              <w:t>,</w:t>
            </w:r>
            <w:r w:rsidRPr="006E4BD4">
              <w:rPr>
                <w:rFonts w:asciiTheme="minorHAnsi" w:hAnsiTheme="minorHAnsi" w:cstheme="minorHAnsi"/>
                <w:sz w:val="22"/>
                <w:szCs w:val="22"/>
                <w:lang w:val="en-US"/>
              </w:rPr>
              <w:t xml:space="preserve"> th</w:t>
            </w:r>
            <w:r w:rsidR="00D82692">
              <w:rPr>
                <w:rFonts w:asciiTheme="minorHAnsi" w:hAnsiTheme="minorHAnsi" w:cstheme="minorHAnsi"/>
                <w:sz w:val="22"/>
                <w:szCs w:val="22"/>
                <w:lang w:val="en-US"/>
              </w:rPr>
              <w:t>e student has to give right answers</w:t>
            </w:r>
            <w:r w:rsidRPr="006E4BD4">
              <w:rPr>
                <w:rFonts w:asciiTheme="minorHAnsi" w:hAnsiTheme="minorHAnsi" w:cstheme="minorHAnsi"/>
                <w:sz w:val="22"/>
                <w:szCs w:val="22"/>
                <w:lang w:val="en-US"/>
              </w:rPr>
              <w:t xml:space="preserve"> at least 3 questions; The student has to get credits from at least 4 short test</w:t>
            </w:r>
            <w:r w:rsidR="00D82692">
              <w:rPr>
                <w:rFonts w:asciiTheme="minorHAnsi" w:hAnsiTheme="minorHAnsi" w:cstheme="minorHAnsi"/>
                <w:sz w:val="22"/>
                <w:szCs w:val="22"/>
                <w:lang w:val="en-US"/>
              </w:rPr>
              <w:t>s</w:t>
            </w:r>
            <w:bookmarkStart w:id="0" w:name="_GoBack"/>
            <w:bookmarkEnd w:id="0"/>
            <w:r w:rsidRPr="006E4BD4">
              <w:rPr>
                <w:rFonts w:asciiTheme="minorHAnsi" w:hAnsiTheme="minorHAnsi" w:cstheme="minorHAnsi"/>
                <w:sz w:val="22"/>
                <w:szCs w:val="22"/>
                <w:lang w:val="en-US"/>
              </w:rPr>
              <w:t xml:space="preserve"> to be eligible to get a positive result from classes. </w:t>
            </w:r>
          </w:p>
        </w:tc>
      </w:tr>
      <w:tr w:rsidR="006E4BD4" w:rsidRPr="006964BF" w:rsidTr="009A441A">
        <w:tc>
          <w:tcPr>
            <w:tcW w:w="9056" w:type="dxa"/>
            <w:gridSpan w:val="2"/>
          </w:tcPr>
          <w:p w:rsidR="006E4BD4" w:rsidRPr="006E4BD4" w:rsidRDefault="006E4BD4" w:rsidP="006E4BD4">
            <w:pPr>
              <w:jc w:val="center"/>
              <w:rPr>
                <w:b/>
                <w:lang w:val="en-US"/>
              </w:rPr>
            </w:pPr>
            <w:r w:rsidRPr="006E4BD4">
              <w:rPr>
                <w:b/>
                <w:sz w:val="28"/>
                <w:lang w:val="en-US"/>
              </w:rPr>
              <w:t>LITERATURE</w:t>
            </w:r>
          </w:p>
        </w:tc>
      </w:tr>
      <w:tr w:rsidR="006E4BD4" w:rsidRPr="006964BF" w:rsidTr="003851E3">
        <w:tc>
          <w:tcPr>
            <w:tcW w:w="9056" w:type="dxa"/>
            <w:gridSpan w:val="2"/>
          </w:tcPr>
          <w:p w:rsidR="006E4BD4" w:rsidRDefault="006E4BD4" w:rsidP="006E4BD4">
            <w:pPr>
              <w:pStyle w:val="Akapitzlist"/>
              <w:numPr>
                <w:ilvl w:val="0"/>
                <w:numId w:val="10"/>
              </w:numPr>
              <w:rPr>
                <w:lang w:val="en-US"/>
              </w:rPr>
            </w:pPr>
            <w:r>
              <w:rPr>
                <w:lang w:val="en-US"/>
              </w:rPr>
              <w:t>Company Law, B. Hannigan, Oxford University Press, Oxford 2016;</w:t>
            </w:r>
          </w:p>
          <w:p w:rsidR="006E4BD4" w:rsidRDefault="006E4BD4" w:rsidP="006E4BD4">
            <w:pPr>
              <w:pStyle w:val="Akapitzlist"/>
              <w:numPr>
                <w:ilvl w:val="0"/>
                <w:numId w:val="10"/>
              </w:numPr>
              <w:rPr>
                <w:lang w:val="en-US"/>
              </w:rPr>
            </w:pPr>
            <w:r>
              <w:rPr>
                <w:lang w:val="en-US"/>
              </w:rPr>
              <w:t xml:space="preserve">Business Law, K.R. Abbot, N. Pendlebury, DP Publications, London </w:t>
            </w:r>
            <w:r>
              <w:rPr>
                <w:i/>
                <w:lang w:val="en-US"/>
              </w:rPr>
              <w:t>last edition</w:t>
            </w:r>
            <w:r>
              <w:rPr>
                <w:lang w:val="en-US"/>
              </w:rPr>
              <w:t>,</w:t>
            </w:r>
          </w:p>
          <w:p w:rsidR="006E4BD4" w:rsidRPr="00240075" w:rsidRDefault="00D82692" w:rsidP="00240075">
            <w:pPr>
              <w:pStyle w:val="Akapitzlist"/>
              <w:numPr>
                <w:ilvl w:val="0"/>
                <w:numId w:val="10"/>
              </w:numPr>
              <w:rPr>
                <w:lang w:val="en-US"/>
              </w:rPr>
            </w:pPr>
            <w:hyperlink r:id="rId5" w:history="1">
              <w:r w:rsidR="006E4BD4" w:rsidRPr="00CF3C51">
                <w:rPr>
                  <w:rStyle w:val="Hipercze"/>
                  <w:lang w:val="en-US"/>
                </w:rPr>
                <w:t>http://www.europarl.europa.eu/factsheets/en/sheet/35/prawo-spolek</w:t>
              </w:r>
            </w:hyperlink>
            <w:r w:rsidR="006E4BD4">
              <w:rPr>
                <w:lang w:val="en-US"/>
              </w:rPr>
              <w:t xml:space="preserve"> </w:t>
            </w:r>
          </w:p>
        </w:tc>
      </w:tr>
    </w:tbl>
    <w:p w:rsidR="006E4BD4" w:rsidRPr="006E4BD4" w:rsidRDefault="006E4BD4" w:rsidP="006E4BD4">
      <w:pPr>
        <w:pStyle w:val="NormalnyWeb"/>
        <w:ind w:left="360"/>
        <w:rPr>
          <w:lang w:val="en-US"/>
        </w:rPr>
      </w:pPr>
    </w:p>
    <w:sectPr w:rsidR="006E4BD4" w:rsidRPr="006E4BD4" w:rsidSect="003F321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428A"/>
    <w:multiLevelType w:val="hybridMultilevel"/>
    <w:tmpl w:val="F81CD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294B50"/>
    <w:multiLevelType w:val="hybridMultilevel"/>
    <w:tmpl w:val="E36A1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24189A"/>
    <w:multiLevelType w:val="hybridMultilevel"/>
    <w:tmpl w:val="DE421628"/>
    <w:lvl w:ilvl="0" w:tplc="83EEC2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CD1FF3"/>
    <w:multiLevelType w:val="hybridMultilevel"/>
    <w:tmpl w:val="A6FEF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0C5801"/>
    <w:multiLevelType w:val="multilevel"/>
    <w:tmpl w:val="C76E8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F04DDE"/>
    <w:multiLevelType w:val="hybridMultilevel"/>
    <w:tmpl w:val="E7A2E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926DE4"/>
    <w:multiLevelType w:val="hybridMultilevel"/>
    <w:tmpl w:val="66A2D0FE"/>
    <w:lvl w:ilvl="0" w:tplc="EA8EF1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60137E"/>
    <w:multiLevelType w:val="hybridMultilevel"/>
    <w:tmpl w:val="03C61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300E9F"/>
    <w:multiLevelType w:val="hybridMultilevel"/>
    <w:tmpl w:val="56685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79C5C99"/>
    <w:multiLevelType w:val="hybridMultilevel"/>
    <w:tmpl w:val="57F23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0"/>
  </w:num>
  <w:num w:numId="6">
    <w:abstractNumId w:val="3"/>
  </w:num>
  <w:num w:numId="7">
    <w:abstractNumId w:val="9"/>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17"/>
    <w:rsid w:val="00087743"/>
    <w:rsid w:val="00121CF1"/>
    <w:rsid w:val="00240075"/>
    <w:rsid w:val="00257D80"/>
    <w:rsid w:val="00281F89"/>
    <w:rsid w:val="002D12CD"/>
    <w:rsid w:val="0038799B"/>
    <w:rsid w:val="003C7916"/>
    <w:rsid w:val="003F321A"/>
    <w:rsid w:val="005814D7"/>
    <w:rsid w:val="00582A40"/>
    <w:rsid w:val="006964BF"/>
    <w:rsid w:val="006E4BD4"/>
    <w:rsid w:val="007B2617"/>
    <w:rsid w:val="00895EDF"/>
    <w:rsid w:val="00BC1917"/>
    <w:rsid w:val="00C212B6"/>
    <w:rsid w:val="00C45E4A"/>
    <w:rsid w:val="00CA7CA4"/>
    <w:rsid w:val="00D009E9"/>
    <w:rsid w:val="00D82692"/>
    <w:rsid w:val="00DA208F"/>
    <w:rsid w:val="00E45552"/>
    <w:rsid w:val="00EF6A39"/>
    <w:rsid w:val="00FF0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4B0C242-736B-F744-AE94-EAF043AD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hAnsi="Calibri"/>
      <w:sz w:val="22"/>
      <w:szCs w:val="22"/>
    </w:rPr>
  </w:style>
  <w:style w:type="paragraph" w:styleId="Nagwek1">
    <w:name w:val="heading 1"/>
    <w:basedOn w:val="Normalny"/>
    <w:next w:val="Normalny"/>
    <w:link w:val="Nagwek1Znak"/>
    <w:uiPriority w:val="9"/>
    <w:qFormat/>
    <w:rsid w:val="00BC19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C1917"/>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69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964BF"/>
    <w:pPr>
      <w:ind w:left="720"/>
      <w:contextualSpacing/>
    </w:pPr>
  </w:style>
  <w:style w:type="paragraph" w:styleId="NormalnyWeb">
    <w:name w:val="Normal (Web)"/>
    <w:basedOn w:val="Normalny"/>
    <w:uiPriority w:val="99"/>
    <w:unhideWhenUsed/>
    <w:rsid w:val="00E45552"/>
    <w:pPr>
      <w:spacing w:before="100" w:beforeAutospacing="1" w:after="100" w:afterAutospacing="1"/>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6E4BD4"/>
    <w:rPr>
      <w:color w:val="0563C1" w:themeColor="hyperlink"/>
      <w:u w:val="single"/>
    </w:rPr>
  </w:style>
  <w:style w:type="character" w:customStyle="1" w:styleId="UnresolvedMention">
    <w:name w:val="Unresolved Mention"/>
    <w:basedOn w:val="Domylnaczcionkaakapitu"/>
    <w:uiPriority w:val="99"/>
    <w:rsid w:val="006E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2207">
      <w:bodyDiv w:val="1"/>
      <w:marLeft w:val="0"/>
      <w:marRight w:val="0"/>
      <w:marTop w:val="0"/>
      <w:marBottom w:val="0"/>
      <w:divBdr>
        <w:top w:val="none" w:sz="0" w:space="0" w:color="auto"/>
        <w:left w:val="none" w:sz="0" w:space="0" w:color="auto"/>
        <w:bottom w:val="none" w:sz="0" w:space="0" w:color="auto"/>
        <w:right w:val="none" w:sz="0" w:space="0" w:color="auto"/>
      </w:divBdr>
    </w:div>
    <w:div w:id="56708713">
      <w:bodyDiv w:val="1"/>
      <w:marLeft w:val="0"/>
      <w:marRight w:val="0"/>
      <w:marTop w:val="0"/>
      <w:marBottom w:val="0"/>
      <w:divBdr>
        <w:top w:val="none" w:sz="0" w:space="0" w:color="auto"/>
        <w:left w:val="none" w:sz="0" w:space="0" w:color="auto"/>
        <w:bottom w:val="none" w:sz="0" w:space="0" w:color="auto"/>
        <w:right w:val="none" w:sz="0" w:space="0" w:color="auto"/>
      </w:divBdr>
      <w:divsChild>
        <w:div w:id="1972245102">
          <w:marLeft w:val="0"/>
          <w:marRight w:val="0"/>
          <w:marTop w:val="0"/>
          <w:marBottom w:val="0"/>
          <w:divBdr>
            <w:top w:val="none" w:sz="0" w:space="0" w:color="auto"/>
            <w:left w:val="none" w:sz="0" w:space="0" w:color="auto"/>
            <w:bottom w:val="none" w:sz="0" w:space="0" w:color="auto"/>
            <w:right w:val="none" w:sz="0" w:space="0" w:color="auto"/>
          </w:divBdr>
          <w:divsChild>
            <w:div w:id="1275746854">
              <w:marLeft w:val="0"/>
              <w:marRight w:val="0"/>
              <w:marTop w:val="0"/>
              <w:marBottom w:val="0"/>
              <w:divBdr>
                <w:top w:val="none" w:sz="0" w:space="0" w:color="auto"/>
                <w:left w:val="none" w:sz="0" w:space="0" w:color="auto"/>
                <w:bottom w:val="none" w:sz="0" w:space="0" w:color="auto"/>
                <w:right w:val="none" w:sz="0" w:space="0" w:color="auto"/>
              </w:divBdr>
              <w:divsChild>
                <w:div w:id="13743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0676">
      <w:bodyDiv w:val="1"/>
      <w:marLeft w:val="0"/>
      <w:marRight w:val="0"/>
      <w:marTop w:val="0"/>
      <w:marBottom w:val="0"/>
      <w:divBdr>
        <w:top w:val="none" w:sz="0" w:space="0" w:color="auto"/>
        <w:left w:val="none" w:sz="0" w:space="0" w:color="auto"/>
        <w:bottom w:val="none" w:sz="0" w:space="0" w:color="auto"/>
        <w:right w:val="none" w:sz="0" w:space="0" w:color="auto"/>
      </w:divBdr>
    </w:div>
    <w:div w:id="345444447">
      <w:bodyDiv w:val="1"/>
      <w:marLeft w:val="0"/>
      <w:marRight w:val="0"/>
      <w:marTop w:val="0"/>
      <w:marBottom w:val="0"/>
      <w:divBdr>
        <w:top w:val="none" w:sz="0" w:space="0" w:color="auto"/>
        <w:left w:val="none" w:sz="0" w:space="0" w:color="auto"/>
        <w:bottom w:val="none" w:sz="0" w:space="0" w:color="auto"/>
        <w:right w:val="none" w:sz="0" w:space="0" w:color="auto"/>
      </w:divBdr>
    </w:div>
    <w:div w:id="346297583">
      <w:bodyDiv w:val="1"/>
      <w:marLeft w:val="0"/>
      <w:marRight w:val="0"/>
      <w:marTop w:val="0"/>
      <w:marBottom w:val="0"/>
      <w:divBdr>
        <w:top w:val="none" w:sz="0" w:space="0" w:color="auto"/>
        <w:left w:val="none" w:sz="0" w:space="0" w:color="auto"/>
        <w:bottom w:val="none" w:sz="0" w:space="0" w:color="auto"/>
        <w:right w:val="none" w:sz="0" w:space="0" w:color="auto"/>
      </w:divBdr>
      <w:divsChild>
        <w:div w:id="409811482">
          <w:marLeft w:val="0"/>
          <w:marRight w:val="0"/>
          <w:marTop w:val="0"/>
          <w:marBottom w:val="0"/>
          <w:divBdr>
            <w:top w:val="none" w:sz="0" w:space="0" w:color="auto"/>
            <w:left w:val="none" w:sz="0" w:space="0" w:color="auto"/>
            <w:bottom w:val="none" w:sz="0" w:space="0" w:color="auto"/>
            <w:right w:val="none" w:sz="0" w:space="0" w:color="auto"/>
          </w:divBdr>
          <w:divsChild>
            <w:div w:id="1979336963">
              <w:marLeft w:val="0"/>
              <w:marRight w:val="0"/>
              <w:marTop w:val="0"/>
              <w:marBottom w:val="0"/>
              <w:divBdr>
                <w:top w:val="none" w:sz="0" w:space="0" w:color="auto"/>
                <w:left w:val="none" w:sz="0" w:space="0" w:color="auto"/>
                <w:bottom w:val="none" w:sz="0" w:space="0" w:color="auto"/>
                <w:right w:val="none" w:sz="0" w:space="0" w:color="auto"/>
              </w:divBdr>
              <w:divsChild>
                <w:div w:id="13587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7062">
      <w:bodyDiv w:val="1"/>
      <w:marLeft w:val="0"/>
      <w:marRight w:val="0"/>
      <w:marTop w:val="0"/>
      <w:marBottom w:val="0"/>
      <w:divBdr>
        <w:top w:val="none" w:sz="0" w:space="0" w:color="auto"/>
        <w:left w:val="none" w:sz="0" w:space="0" w:color="auto"/>
        <w:bottom w:val="none" w:sz="0" w:space="0" w:color="auto"/>
        <w:right w:val="none" w:sz="0" w:space="0" w:color="auto"/>
      </w:divBdr>
    </w:div>
    <w:div w:id="1016346677">
      <w:bodyDiv w:val="1"/>
      <w:marLeft w:val="0"/>
      <w:marRight w:val="0"/>
      <w:marTop w:val="0"/>
      <w:marBottom w:val="0"/>
      <w:divBdr>
        <w:top w:val="none" w:sz="0" w:space="0" w:color="auto"/>
        <w:left w:val="none" w:sz="0" w:space="0" w:color="auto"/>
        <w:bottom w:val="none" w:sz="0" w:space="0" w:color="auto"/>
        <w:right w:val="none" w:sz="0" w:space="0" w:color="auto"/>
      </w:divBdr>
    </w:div>
    <w:div w:id="1244530300">
      <w:bodyDiv w:val="1"/>
      <w:marLeft w:val="0"/>
      <w:marRight w:val="0"/>
      <w:marTop w:val="0"/>
      <w:marBottom w:val="0"/>
      <w:divBdr>
        <w:top w:val="none" w:sz="0" w:space="0" w:color="auto"/>
        <w:left w:val="none" w:sz="0" w:space="0" w:color="auto"/>
        <w:bottom w:val="none" w:sz="0" w:space="0" w:color="auto"/>
        <w:right w:val="none" w:sz="0" w:space="0" w:color="auto"/>
      </w:divBdr>
      <w:divsChild>
        <w:div w:id="238752951">
          <w:marLeft w:val="0"/>
          <w:marRight w:val="0"/>
          <w:marTop w:val="0"/>
          <w:marBottom w:val="0"/>
          <w:divBdr>
            <w:top w:val="none" w:sz="0" w:space="0" w:color="auto"/>
            <w:left w:val="none" w:sz="0" w:space="0" w:color="auto"/>
            <w:bottom w:val="none" w:sz="0" w:space="0" w:color="auto"/>
            <w:right w:val="none" w:sz="0" w:space="0" w:color="auto"/>
          </w:divBdr>
          <w:divsChild>
            <w:div w:id="343098183">
              <w:marLeft w:val="0"/>
              <w:marRight w:val="0"/>
              <w:marTop w:val="0"/>
              <w:marBottom w:val="0"/>
              <w:divBdr>
                <w:top w:val="none" w:sz="0" w:space="0" w:color="auto"/>
                <w:left w:val="none" w:sz="0" w:space="0" w:color="auto"/>
                <w:bottom w:val="none" w:sz="0" w:space="0" w:color="auto"/>
                <w:right w:val="none" w:sz="0" w:space="0" w:color="auto"/>
              </w:divBdr>
              <w:divsChild>
                <w:div w:id="8891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3318">
      <w:bodyDiv w:val="1"/>
      <w:marLeft w:val="0"/>
      <w:marRight w:val="0"/>
      <w:marTop w:val="0"/>
      <w:marBottom w:val="0"/>
      <w:divBdr>
        <w:top w:val="none" w:sz="0" w:space="0" w:color="auto"/>
        <w:left w:val="none" w:sz="0" w:space="0" w:color="auto"/>
        <w:bottom w:val="none" w:sz="0" w:space="0" w:color="auto"/>
        <w:right w:val="none" w:sz="0" w:space="0" w:color="auto"/>
      </w:divBdr>
      <w:divsChild>
        <w:div w:id="671566765">
          <w:marLeft w:val="0"/>
          <w:marRight w:val="0"/>
          <w:marTop w:val="0"/>
          <w:marBottom w:val="0"/>
          <w:divBdr>
            <w:top w:val="none" w:sz="0" w:space="0" w:color="auto"/>
            <w:left w:val="none" w:sz="0" w:space="0" w:color="auto"/>
            <w:bottom w:val="none" w:sz="0" w:space="0" w:color="auto"/>
            <w:right w:val="none" w:sz="0" w:space="0" w:color="auto"/>
          </w:divBdr>
          <w:divsChild>
            <w:div w:id="962152374">
              <w:marLeft w:val="0"/>
              <w:marRight w:val="0"/>
              <w:marTop w:val="0"/>
              <w:marBottom w:val="0"/>
              <w:divBdr>
                <w:top w:val="none" w:sz="0" w:space="0" w:color="auto"/>
                <w:left w:val="none" w:sz="0" w:space="0" w:color="auto"/>
                <w:bottom w:val="none" w:sz="0" w:space="0" w:color="auto"/>
                <w:right w:val="none" w:sz="0" w:space="0" w:color="auto"/>
              </w:divBdr>
              <w:divsChild>
                <w:div w:id="4994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6793">
      <w:bodyDiv w:val="1"/>
      <w:marLeft w:val="0"/>
      <w:marRight w:val="0"/>
      <w:marTop w:val="0"/>
      <w:marBottom w:val="0"/>
      <w:divBdr>
        <w:top w:val="none" w:sz="0" w:space="0" w:color="auto"/>
        <w:left w:val="none" w:sz="0" w:space="0" w:color="auto"/>
        <w:bottom w:val="none" w:sz="0" w:space="0" w:color="auto"/>
        <w:right w:val="none" w:sz="0" w:space="0" w:color="auto"/>
      </w:divBdr>
      <w:divsChild>
        <w:div w:id="703555117">
          <w:marLeft w:val="0"/>
          <w:marRight w:val="0"/>
          <w:marTop w:val="0"/>
          <w:marBottom w:val="0"/>
          <w:divBdr>
            <w:top w:val="none" w:sz="0" w:space="0" w:color="auto"/>
            <w:left w:val="none" w:sz="0" w:space="0" w:color="auto"/>
            <w:bottom w:val="none" w:sz="0" w:space="0" w:color="auto"/>
            <w:right w:val="none" w:sz="0" w:space="0" w:color="auto"/>
          </w:divBdr>
          <w:divsChild>
            <w:div w:id="1654092729">
              <w:marLeft w:val="0"/>
              <w:marRight w:val="0"/>
              <w:marTop w:val="0"/>
              <w:marBottom w:val="0"/>
              <w:divBdr>
                <w:top w:val="none" w:sz="0" w:space="0" w:color="auto"/>
                <w:left w:val="none" w:sz="0" w:space="0" w:color="auto"/>
                <w:bottom w:val="none" w:sz="0" w:space="0" w:color="auto"/>
                <w:right w:val="none" w:sz="0" w:space="0" w:color="auto"/>
              </w:divBdr>
              <w:divsChild>
                <w:div w:id="11058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uroparl.europa.eu/factsheets/en/sheet/35/prawo-spole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383</Words>
  <Characters>2301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Wieczorkowska</dc:creator>
  <cp:keywords/>
  <dc:description/>
  <cp:lastModifiedBy>kwiec</cp:lastModifiedBy>
  <cp:revision>2</cp:revision>
  <dcterms:created xsi:type="dcterms:W3CDTF">2019-02-23T10:42:00Z</dcterms:created>
  <dcterms:modified xsi:type="dcterms:W3CDTF">2019-03-02T10:06:00Z</dcterms:modified>
</cp:coreProperties>
</file>