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D42" w:rsidRDefault="00642EC3" w:rsidP="002D7072">
      <w:pPr>
        <w:jc w:val="center"/>
        <w:rPr>
          <w:rFonts w:ascii="Cambria" w:hAnsi="Cambria"/>
          <w:b/>
          <w:sz w:val="24"/>
          <w:szCs w:val="24"/>
        </w:rPr>
      </w:pPr>
      <w:r w:rsidRPr="002D7072">
        <w:rPr>
          <w:rFonts w:ascii="Cambria" w:hAnsi="Cambria"/>
          <w:b/>
          <w:sz w:val="24"/>
          <w:szCs w:val="24"/>
        </w:rPr>
        <w:t>Literatura uzupełniająca</w:t>
      </w:r>
    </w:p>
    <w:p w:rsidR="002D7072" w:rsidRDefault="002D7072" w:rsidP="002D7072">
      <w:pPr>
        <w:jc w:val="center"/>
        <w:rPr>
          <w:rFonts w:ascii="Cambria" w:hAnsi="Cambria"/>
          <w:b/>
          <w:sz w:val="24"/>
          <w:szCs w:val="24"/>
        </w:rPr>
      </w:pPr>
    </w:p>
    <w:p w:rsidR="00642EC3" w:rsidRPr="002D7072" w:rsidRDefault="00642EC3" w:rsidP="002D7072">
      <w:pPr>
        <w:jc w:val="both"/>
        <w:rPr>
          <w:rFonts w:ascii="Cambria" w:hAnsi="Cambria"/>
          <w:b/>
          <w:sz w:val="24"/>
          <w:szCs w:val="24"/>
        </w:rPr>
      </w:pPr>
      <w:r w:rsidRPr="002D7072">
        <w:rPr>
          <w:rFonts w:ascii="Cambria" w:hAnsi="Cambria"/>
          <w:b/>
          <w:sz w:val="24"/>
          <w:szCs w:val="24"/>
        </w:rPr>
        <w:t>Znamiona strony podmiotowej</w:t>
      </w:r>
    </w:p>
    <w:p w:rsidR="0015375A" w:rsidRDefault="0015375A" w:rsidP="002D7072">
      <w:pPr>
        <w:jc w:val="both"/>
        <w:rPr>
          <w:rFonts w:ascii="Cambria" w:hAnsi="Cambria"/>
          <w:sz w:val="24"/>
          <w:szCs w:val="24"/>
        </w:rPr>
      </w:pPr>
      <w:r w:rsidRPr="0015375A">
        <w:rPr>
          <w:rFonts w:ascii="Cambria" w:hAnsi="Cambria"/>
          <w:sz w:val="24"/>
          <w:szCs w:val="24"/>
        </w:rPr>
        <w:t xml:space="preserve">W. Wolter, </w:t>
      </w:r>
      <w:r w:rsidRPr="0015375A">
        <w:rPr>
          <w:rFonts w:ascii="Cambria" w:hAnsi="Cambria"/>
          <w:i/>
          <w:sz w:val="24"/>
          <w:szCs w:val="24"/>
        </w:rPr>
        <w:t>Z rozważań nad winą nieumyślną</w:t>
      </w:r>
      <w:r w:rsidRPr="0015375A">
        <w:rPr>
          <w:rFonts w:ascii="Cambria" w:hAnsi="Cambria"/>
          <w:sz w:val="24"/>
          <w:szCs w:val="24"/>
        </w:rPr>
        <w:t>, P</w:t>
      </w:r>
      <w:r>
        <w:rPr>
          <w:rFonts w:ascii="Cambria" w:hAnsi="Cambria"/>
          <w:sz w:val="24"/>
          <w:szCs w:val="24"/>
        </w:rPr>
        <w:t xml:space="preserve">aństwo </w:t>
      </w:r>
      <w:r w:rsidRPr="0015375A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</w:t>
      </w:r>
      <w:r w:rsidRPr="0015375A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rawo</w:t>
      </w:r>
      <w:r w:rsidRPr="0015375A">
        <w:rPr>
          <w:rFonts w:ascii="Cambria" w:hAnsi="Cambria"/>
          <w:sz w:val="24"/>
          <w:szCs w:val="24"/>
        </w:rPr>
        <w:t xml:space="preserve"> 1962, z. 5-6</w:t>
      </w:r>
    </w:p>
    <w:p w:rsidR="00642EC3" w:rsidRPr="002D7072" w:rsidRDefault="00642EC3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M. </w:t>
      </w:r>
      <w:proofErr w:type="spellStart"/>
      <w:r w:rsidRPr="002D7072">
        <w:rPr>
          <w:rFonts w:ascii="Cambria" w:hAnsi="Cambria"/>
          <w:sz w:val="24"/>
          <w:szCs w:val="24"/>
        </w:rPr>
        <w:t>Rodzynkiewicz</w:t>
      </w:r>
      <w:proofErr w:type="spellEnd"/>
      <w:r w:rsidRPr="002D7072">
        <w:rPr>
          <w:rFonts w:ascii="Cambria" w:hAnsi="Cambria"/>
          <w:sz w:val="24"/>
          <w:szCs w:val="24"/>
        </w:rPr>
        <w:t xml:space="preserve">, </w:t>
      </w:r>
      <w:r w:rsidRPr="002D7072">
        <w:rPr>
          <w:rFonts w:ascii="Cambria" w:hAnsi="Cambria"/>
          <w:i/>
          <w:sz w:val="24"/>
          <w:szCs w:val="24"/>
        </w:rPr>
        <w:t>Próba analizy prawnokarnej konstrukcji umyślności</w:t>
      </w:r>
      <w:r w:rsidRPr="002D7072">
        <w:rPr>
          <w:rFonts w:ascii="Cambria" w:hAnsi="Cambria"/>
          <w:sz w:val="24"/>
          <w:szCs w:val="24"/>
        </w:rPr>
        <w:t>, R</w:t>
      </w:r>
      <w:r w:rsidR="002D7072" w:rsidRPr="002D7072">
        <w:rPr>
          <w:rFonts w:ascii="Cambria" w:hAnsi="Cambria"/>
          <w:sz w:val="24"/>
          <w:szCs w:val="24"/>
        </w:rPr>
        <w:t>uch Prawniczy, Ekonomiczny i Socjologiczny</w:t>
      </w:r>
      <w:r w:rsidRPr="002D7072">
        <w:rPr>
          <w:rFonts w:ascii="Cambria" w:hAnsi="Cambria"/>
          <w:sz w:val="24"/>
          <w:szCs w:val="24"/>
        </w:rPr>
        <w:t xml:space="preserve"> 1990, nr 3-4</w:t>
      </w:r>
    </w:p>
    <w:p w:rsidR="00642EC3" w:rsidRPr="002D7072" w:rsidRDefault="00B81E7C" w:rsidP="002D7072">
      <w:pPr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7072">
        <w:rPr>
          <w:rFonts w:ascii="Cambria" w:eastAsia="Times New Roman" w:hAnsi="Cambria" w:cs="Times New Roman"/>
          <w:i/>
          <w:sz w:val="24"/>
          <w:szCs w:val="24"/>
          <w:lang w:eastAsia="pl-PL"/>
        </w:rPr>
        <w:t>Umyślność i jej formy</w:t>
      </w:r>
      <w:r w:rsidRPr="002D7072">
        <w:rPr>
          <w:rFonts w:ascii="Cambria" w:eastAsia="Times New Roman" w:hAnsi="Cambria" w:cs="Times New Roman"/>
          <w:sz w:val="24"/>
          <w:szCs w:val="24"/>
          <w:lang w:eastAsia="pl-PL"/>
        </w:rPr>
        <w:t>, red. J. Majewski, Toruń 2011</w:t>
      </w:r>
    </w:p>
    <w:p w:rsidR="00B81E7C" w:rsidRPr="002D7072" w:rsidRDefault="00B81E7C" w:rsidP="002D7072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7072">
        <w:rPr>
          <w:rFonts w:ascii="Cambria" w:eastAsia="Times New Roman" w:hAnsi="Cambria" w:cs="Times New Roman"/>
          <w:i/>
          <w:sz w:val="24"/>
          <w:szCs w:val="24"/>
          <w:lang w:eastAsia="pl-PL"/>
        </w:rPr>
        <w:t>Nieumyślność</w:t>
      </w:r>
      <w:r w:rsidRPr="002D7072">
        <w:rPr>
          <w:rFonts w:ascii="Cambria" w:eastAsia="Times New Roman" w:hAnsi="Cambria" w:cs="Times New Roman"/>
          <w:sz w:val="24"/>
          <w:szCs w:val="24"/>
          <w:lang w:eastAsia="pl-PL"/>
        </w:rPr>
        <w:t>, red. J. Majewski, Toruń 2012</w:t>
      </w:r>
    </w:p>
    <w:p w:rsidR="002D7072" w:rsidRPr="002D7072" w:rsidRDefault="002D7072" w:rsidP="000954F8">
      <w:p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D70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J. Giezek, </w:t>
      </w:r>
      <w:r w:rsidRPr="002D7072">
        <w:rPr>
          <w:rFonts w:ascii="Cambria" w:eastAsia="Times New Roman" w:hAnsi="Cambria" w:cs="Times New Roman"/>
          <w:i/>
          <w:sz w:val="24"/>
          <w:szCs w:val="24"/>
          <w:lang w:eastAsia="pl-PL"/>
        </w:rPr>
        <w:t>Świadomość sprawcy czynu zabronionego</w:t>
      </w:r>
      <w:r w:rsidRPr="002D7072">
        <w:rPr>
          <w:rFonts w:ascii="Cambria" w:eastAsia="Times New Roman" w:hAnsi="Cambria" w:cs="Times New Roman"/>
          <w:sz w:val="24"/>
          <w:szCs w:val="24"/>
          <w:lang w:eastAsia="pl-PL"/>
        </w:rPr>
        <w:t>, Warszawa 2013</w:t>
      </w:r>
    </w:p>
    <w:p w:rsidR="00B81E7C" w:rsidRPr="002D7072" w:rsidRDefault="00B81E7C" w:rsidP="002D7072">
      <w:pPr>
        <w:jc w:val="both"/>
        <w:rPr>
          <w:rFonts w:ascii="Cambria" w:hAnsi="Cambria"/>
          <w:sz w:val="24"/>
          <w:szCs w:val="24"/>
        </w:rPr>
      </w:pPr>
    </w:p>
    <w:p w:rsidR="00642EC3" w:rsidRPr="002D7072" w:rsidRDefault="00642EC3" w:rsidP="002D7072">
      <w:pPr>
        <w:jc w:val="both"/>
        <w:rPr>
          <w:rFonts w:ascii="Cambria" w:hAnsi="Cambria"/>
          <w:b/>
          <w:sz w:val="24"/>
          <w:szCs w:val="24"/>
        </w:rPr>
      </w:pPr>
      <w:r w:rsidRPr="002D7072">
        <w:rPr>
          <w:rFonts w:ascii="Cambria" w:hAnsi="Cambria"/>
          <w:b/>
          <w:sz w:val="24"/>
          <w:szCs w:val="24"/>
        </w:rPr>
        <w:t>Bezprawność i okoliczności ją wyłączające</w:t>
      </w:r>
    </w:p>
    <w:p w:rsidR="00B81E7C" w:rsidRPr="002D7072" w:rsidRDefault="002D7072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A. </w:t>
      </w:r>
      <w:r w:rsidR="00B81E7C" w:rsidRPr="002D7072">
        <w:rPr>
          <w:rFonts w:ascii="Cambria" w:hAnsi="Cambria"/>
          <w:sz w:val="24"/>
          <w:szCs w:val="24"/>
        </w:rPr>
        <w:t xml:space="preserve">Zoll, </w:t>
      </w:r>
      <w:r w:rsidR="00B81E7C" w:rsidRPr="002D7072">
        <w:rPr>
          <w:rFonts w:ascii="Cambria" w:hAnsi="Cambria"/>
          <w:i/>
          <w:sz w:val="24"/>
          <w:szCs w:val="24"/>
        </w:rPr>
        <w:t>Okoliczności wyłączające bezprawność czynu (zagadnienia ogólne)</w:t>
      </w:r>
      <w:r w:rsidR="00B81E7C" w:rsidRPr="002D7072">
        <w:rPr>
          <w:rFonts w:ascii="Cambria" w:hAnsi="Cambria"/>
          <w:sz w:val="24"/>
          <w:szCs w:val="24"/>
        </w:rPr>
        <w:t>, Warszawa 1982</w:t>
      </w:r>
    </w:p>
    <w:p w:rsidR="002D7072" w:rsidRPr="002D7072" w:rsidRDefault="002D7072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T. Kaczmarek, </w:t>
      </w:r>
      <w:r w:rsidRPr="002D7072">
        <w:rPr>
          <w:rFonts w:ascii="Cambria" w:hAnsi="Cambria"/>
          <w:i/>
          <w:sz w:val="24"/>
          <w:szCs w:val="24"/>
        </w:rPr>
        <w:t>O tzw. okolicznościach „wyłączających” bezprawność czynu</w:t>
      </w:r>
      <w:r w:rsidRPr="002D7072">
        <w:rPr>
          <w:rFonts w:ascii="Cambria" w:hAnsi="Cambria"/>
          <w:sz w:val="24"/>
          <w:szCs w:val="24"/>
        </w:rPr>
        <w:t>, Państwo i Prawo 2008, z. 10</w:t>
      </w:r>
    </w:p>
    <w:p w:rsidR="002D7072" w:rsidRPr="002D7072" w:rsidRDefault="002D7072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A. Zoll, </w:t>
      </w:r>
      <w:r w:rsidRPr="002D7072">
        <w:rPr>
          <w:rFonts w:ascii="Cambria" w:hAnsi="Cambria"/>
          <w:i/>
          <w:sz w:val="24"/>
          <w:szCs w:val="24"/>
        </w:rPr>
        <w:t>W sprawie kontratypów. Polemika z artykułem T. Kaczmarka</w:t>
      </w:r>
      <w:r w:rsidRPr="002D7072">
        <w:rPr>
          <w:rFonts w:ascii="Cambria" w:hAnsi="Cambria"/>
          <w:sz w:val="24"/>
          <w:szCs w:val="24"/>
        </w:rPr>
        <w:t>, Państwo i Prawo 2009, z. 4</w:t>
      </w:r>
    </w:p>
    <w:p w:rsidR="002D7072" w:rsidRPr="002D7072" w:rsidRDefault="002D7072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T. Kaczmarek, </w:t>
      </w:r>
      <w:r w:rsidRPr="002D7072">
        <w:rPr>
          <w:rFonts w:ascii="Cambria" w:hAnsi="Cambria"/>
          <w:i/>
          <w:sz w:val="24"/>
          <w:szCs w:val="24"/>
        </w:rPr>
        <w:t>O kontratypach r</w:t>
      </w:r>
      <w:bookmarkStart w:id="0" w:name="_GoBack"/>
      <w:bookmarkEnd w:id="0"/>
      <w:r w:rsidRPr="002D7072">
        <w:rPr>
          <w:rFonts w:ascii="Cambria" w:hAnsi="Cambria"/>
          <w:i/>
          <w:sz w:val="24"/>
          <w:szCs w:val="24"/>
        </w:rPr>
        <w:t>az jeszcze</w:t>
      </w:r>
      <w:r w:rsidRPr="002D7072">
        <w:rPr>
          <w:rFonts w:ascii="Cambria" w:hAnsi="Cambria"/>
          <w:sz w:val="24"/>
          <w:szCs w:val="24"/>
        </w:rPr>
        <w:t>, Państwo i Prawo 2009, z. 7</w:t>
      </w:r>
    </w:p>
    <w:p w:rsidR="00B81E7C" w:rsidRPr="002D7072" w:rsidRDefault="00B81E7C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J. Giezek, </w:t>
      </w:r>
      <w:r w:rsidRPr="002D7072">
        <w:rPr>
          <w:rFonts w:ascii="Cambria" w:hAnsi="Cambria"/>
          <w:i/>
          <w:sz w:val="24"/>
          <w:szCs w:val="24"/>
        </w:rPr>
        <w:t xml:space="preserve">„Zezwolenie” na naruszenie dobra prawnego – negatywne znamię typu czy okoliczność </w:t>
      </w:r>
      <w:proofErr w:type="spellStart"/>
      <w:r w:rsidRPr="002D7072">
        <w:rPr>
          <w:rFonts w:ascii="Cambria" w:hAnsi="Cambria"/>
          <w:i/>
          <w:sz w:val="24"/>
          <w:szCs w:val="24"/>
        </w:rPr>
        <w:t>kontratypowa</w:t>
      </w:r>
      <w:proofErr w:type="spellEnd"/>
      <w:r w:rsidRPr="002D7072">
        <w:rPr>
          <w:rFonts w:ascii="Cambria" w:hAnsi="Cambria"/>
          <w:sz w:val="24"/>
          <w:szCs w:val="24"/>
        </w:rPr>
        <w:t xml:space="preserve"> [w:] </w:t>
      </w:r>
      <w:r w:rsidRPr="002D7072">
        <w:rPr>
          <w:rFonts w:ascii="Cambria" w:hAnsi="Cambria"/>
          <w:i/>
          <w:sz w:val="24"/>
          <w:szCs w:val="24"/>
        </w:rPr>
        <w:t>Aktualne problemy prawa karnego. Księga pamiątkowa z okazji Jubileuszu 70. Urodzin Profesora Andrzeja J. Szwarca</w:t>
      </w:r>
      <w:r w:rsidRPr="002D7072">
        <w:rPr>
          <w:rFonts w:ascii="Cambria" w:hAnsi="Cambria"/>
          <w:sz w:val="24"/>
          <w:szCs w:val="24"/>
        </w:rPr>
        <w:t xml:space="preserve"> (red. Ł. Pohl), Poznań 2009</w:t>
      </w:r>
    </w:p>
    <w:p w:rsidR="00B81E7C" w:rsidRDefault="00B81E7C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M. Bielski, </w:t>
      </w:r>
      <w:r w:rsidRPr="002D7072">
        <w:rPr>
          <w:rFonts w:ascii="Cambria" w:hAnsi="Cambria"/>
          <w:i/>
          <w:sz w:val="24"/>
          <w:szCs w:val="24"/>
        </w:rPr>
        <w:t>Koncepcja kontratypów jako okoliczności wyłączających karalność</w:t>
      </w:r>
      <w:r w:rsidRPr="002D7072">
        <w:rPr>
          <w:rFonts w:ascii="Cambria" w:hAnsi="Cambria"/>
          <w:sz w:val="24"/>
          <w:szCs w:val="24"/>
        </w:rPr>
        <w:t>, Czasopismo Prawa Karnego i Nauk Penalnych 2010, z. 2</w:t>
      </w:r>
    </w:p>
    <w:p w:rsidR="000954F8" w:rsidRPr="002D7072" w:rsidRDefault="000954F8" w:rsidP="000954F8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J. Majewski, </w:t>
      </w:r>
      <w:r w:rsidRPr="002D7072">
        <w:rPr>
          <w:rFonts w:ascii="Cambria" w:hAnsi="Cambria"/>
          <w:i/>
          <w:sz w:val="24"/>
          <w:szCs w:val="24"/>
        </w:rPr>
        <w:t>Okoliczności wyłączające bezprawność czynu a znamiona subiektywne</w:t>
      </w:r>
      <w:r w:rsidRPr="002D7072">
        <w:rPr>
          <w:rFonts w:ascii="Cambria" w:hAnsi="Cambria"/>
          <w:sz w:val="24"/>
          <w:szCs w:val="24"/>
        </w:rPr>
        <w:t>, Warszawa 2013</w:t>
      </w:r>
    </w:p>
    <w:p w:rsidR="002D7072" w:rsidRDefault="002D7072" w:rsidP="002D7072">
      <w:pPr>
        <w:jc w:val="both"/>
        <w:rPr>
          <w:rFonts w:ascii="Cambria" w:hAnsi="Cambria"/>
          <w:b/>
          <w:sz w:val="24"/>
          <w:szCs w:val="24"/>
        </w:rPr>
      </w:pPr>
    </w:p>
    <w:p w:rsidR="00B81E7C" w:rsidRPr="002D7072" w:rsidRDefault="00B81E7C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b/>
          <w:sz w:val="24"/>
          <w:szCs w:val="24"/>
        </w:rPr>
        <w:t>Obiektywne przypisanie</w:t>
      </w:r>
    </w:p>
    <w:p w:rsidR="00B81E7C" w:rsidRPr="002D7072" w:rsidRDefault="00B81E7C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J. Giezek, </w:t>
      </w:r>
      <w:r w:rsidRPr="002D7072">
        <w:rPr>
          <w:rFonts w:ascii="Cambria" w:hAnsi="Cambria"/>
          <w:i/>
          <w:sz w:val="24"/>
          <w:szCs w:val="24"/>
        </w:rPr>
        <w:t>Przyczynowość oraz przypisanie skutku w prawie karnym</w:t>
      </w:r>
      <w:r w:rsidRPr="002D7072">
        <w:rPr>
          <w:rFonts w:ascii="Cambria" w:hAnsi="Cambria"/>
          <w:sz w:val="24"/>
          <w:szCs w:val="24"/>
        </w:rPr>
        <w:t>, Wrocław 1994</w:t>
      </w:r>
    </w:p>
    <w:p w:rsidR="002D7072" w:rsidRDefault="002D7072" w:rsidP="002D707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M. Bielski, </w:t>
      </w:r>
      <w:r w:rsidRPr="002D7072">
        <w:rPr>
          <w:rFonts w:ascii="Cambria" w:hAnsi="Cambria"/>
          <w:i/>
          <w:sz w:val="24"/>
          <w:szCs w:val="24"/>
        </w:rPr>
        <w:t>Naruszenie reguł ostrożności czy nadmierna ryzykowność zachowania jako właściwe kryterium prawnokarnego przypisania skutku</w:t>
      </w:r>
      <w:r w:rsidRPr="002D7072">
        <w:rPr>
          <w:rFonts w:ascii="Cambria" w:hAnsi="Cambria"/>
          <w:sz w:val="24"/>
          <w:szCs w:val="24"/>
        </w:rPr>
        <w:t>, Czasopismo Prawa Karnego i Nauk Penalnych 2004, z. 1</w:t>
      </w:r>
    </w:p>
    <w:p w:rsidR="00B81E7C" w:rsidRPr="002D7072" w:rsidRDefault="00B81E7C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M. Bielski, </w:t>
      </w:r>
      <w:r w:rsidRPr="002D7072">
        <w:rPr>
          <w:rFonts w:ascii="Cambria" w:hAnsi="Cambria"/>
          <w:i/>
          <w:sz w:val="24"/>
          <w:szCs w:val="24"/>
        </w:rPr>
        <w:t>Prawnokarne przypisanie skutku w postaci konkretnego narażenia na niebezpieczeństwo – uwagi na marginesie postanowienia Sądu Najwyższego z dnia 3 czerwca 2004 r., V KK 37/04</w:t>
      </w:r>
      <w:r w:rsidRPr="002D7072">
        <w:rPr>
          <w:rFonts w:ascii="Cambria" w:hAnsi="Cambria"/>
          <w:sz w:val="24"/>
          <w:szCs w:val="24"/>
        </w:rPr>
        <w:t>, Przegląd Sądowy 2005, nr 4</w:t>
      </w:r>
    </w:p>
    <w:p w:rsidR="00B81E7C" w:rsidRPr="002D7072" w:rsidRDefault="00B81E7C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lastRenderedPageBreak/>
        <w:t xml:space="preserve">M. Bielski, </w:t>
      </w:r>
      <w:r w:rsidRPr="002D7072">
        <w:rPr>
          <w:rFonts w:ascii="Cambria" w:hAnsi="Cambria"/>
          <w:i/>
          <w:sz w:val="24"/>
          <w:szCs w:val="24"/>
        </w:rPr>
        <w:t>Obiektywne przypisanie skutku przestępnego w przypadku kolizji odpowiedzialności za skutek</w:t>
      </w:r>
      <w:r w:rsidRPr="002D7072">
        <w:rPr>
          <w:rFonts w:ascii="Cambria" w:hAnsi="Cambria"/>
          <w:sz w:val="24"/>
          <w:szCs w:val="24"/>
        </w:rPr>
        <w:t>, Państwo i Prawo, 2005, z. 10</w:t>
      </w:r>
    </w:p>
    <w:p w:rsidR="00B81E7C" w:rsidRDefault="00B81E7C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sz w:val="24"/>
          <w:szCs w:val="24"/>
        </w:rPr>
        <w:t xml:space="preserve">M. Bielski, </w:t>
      </w:r>
      <w:r w:rsidRPr="002D7072">
        <w:rPr>
          <w:rFonts w:ascii="Cambria" w:hAnsi="Cambria"/>
          <w:i/>
          <w:sz w:val="24"/>
          <w:szCs w:val="24"/>
        </w:rPr>
        <w:t>Kryteria obiektywnego przypisania skutku na tle współczesnej polskiej dogmatyki prawa karnego</w:t>
      </w:r>
      <w:r w:rsidRPr="002D7072">
        <w:rPr>
          <w:rFonts w:ascii="Cambria" w:hAnsi="Cambria"/>
          <w:sz w:val="24"/>
          <w:szCs w:val="24"/>
        </w:rPr>
        <w:t xml:space="preserve"> (w:) P. Kardas, T. Sroka, W. Wróbel (red.), </w:t>
      </w:r>
      <w:r w:rsidRPr="002D7072">
        <w:rPr>
          <w:rFonts w:ascii="Cambria" w:hAnsi="Cambria"/>
          <w:i/>
          <w:sz w:val="24"/>
          <w:szCs w:val="24"/>
        </w:rPr>
        <w:t>Państwo Prawa i Prawo Karne. Księga Jubileuszowa Profesora Andrzeja Zolla</w:t>
      </w:r>
      <w:r w:rsidRPr="002D7072">
        <w:rPr>
          <w:rFonts w:ascii="Cambria" w:hAnsi="Cambria"/>
          <w:sz w:val="24"/>
          <w:szCs w:val="24"/>
        </w:rPr>
        <w:t>, t. II, Warszawa 2012</w:t>
      </w:r>
    </w:p>
    <w:p w:rsidR="007B2875" w:rsidRPr="007B2875" w:rsidRDefault="007B2875" w:rsidP="002D7072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M. Małecki, </w:t>
      </w:r>
      <w:r>
        <w:rPr>
          <w:rFonts w:ascii="Cambria" w:hAnsi="Cambria"/>
          <w:i/>
          <w:sz w:val="24"/>
          <w:szCs w:val="24"/>
        </w:rPr>
        <w:t>Z problematyki obiektywnego przypisania skutku (przypadek płonącego anioła)</w:t>
      </w:r>
      <w:r>
        <w:rPr>
          <w:rFonts w:ascii="Cambria" w:hAnsi="Cambria"/>
          <w:sz w:val="24"/>
          <w:szCs w:val="24"/>
        </w:rPr>
        <w:t>, Czasopismo Prawa Karnego i Nauk Penalnych 2013, z. 2</w:t>
      </w:r>
    </w:p>
    <w:p w:rsidR="002D7072" w:rsidRPr="002D7072" w:rsidRDefault="002D7072" w:rsidP="002D7072">
      <w:pPr>
        <w:jc w:val="both"/>
        <w:rPr>
          <w:rFonts w:ascii="Cambria" w:hAnsi="Cambria"/>
          <w:sz w:val="24"/>
          <w:szCs w:val="24"/>
        </w:rPr>
      </w:pPr>
      <w:r w:rsidRPr="002D7072">
        <w:rPr>
          <w:rFonts w:ascii="Cambria" w:hAnsi="Cambria"/>
          <w:i/>
          <w:sz w:val="24"/>
          <w:szCs w:val="24"/>
        </w:rPr>
        <w:t>Obiektywne oraz subiektywne przypisanie odpowiedzialności karnej</w:t>
      </w:r>
      <w:r w:rsidRPr="002D7072">
        <w:rPr>
          <w:rFonts w:ascii="Cambria" w:hAnsi="Cambria"/>
          <w:sz w:val="24"/>
          <w:szCs w:val="24"/>
        </w:rPr>
        <w:t>, red. J. Giezek, P. Kardas, Warszawa 2016</w:t>
      </w:r>
    </w:p>
    <w:p w:rsidR="00642EC3" w:rsidRPr="002D7072" w:rsidRDefault="00642EC3" w:rsidP="002D7072">
      <w:pPr>
        <w:jc w:val="both"/>
        <w:rPr>
          <w:rFonts w:ascii="Cambria" w:hAnsi="Cambria"/>
          <w:sz w:val="24"/>
          <w:szCs w:val="24"/>
        </w:rPr>
      </w:pPr>
    </w:p>
    <w:sectPr w:rsidR="00642EC3" w:rsidRPr="002D7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14E2"/>
    <w:multiLevelType w:val="hybridMultilevel"/>
    <w:tmpl w:val="FE06D9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F464B"/>
    <w:multiLevelType w:val="hybridMultilevel"/>
    <w:tmpl w:val="C6507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D127A"/>
    <w:multiLevelType w:val="hybridMultilevel"/>
    <w:tmpl w:val="C4B02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3"/>
    <w:rsid w:val="000954F8"/>
    <w:rsid w:val="0015375A"/>
    <w:rsid w:val="002D7072"/>
    <w:rsid w:val="00642EC3"/>
    <w:rsid w:val="006F1D42"/>
    <w:rsid w:val="007B2875"/>
    <w:rsid w:val="00952453"/>
    <w:rsid w:val="00B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8008"/>
  <w15:chartTrackingRefBased/>
  <w15:docId w15:val="{56D47F12-436D-4031-8D2A-570850BA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4</cp:revision>
  <dcterms:created xsi:type="dcterms:W3CDTF">2016-09-27T16:13:00Z</dcterms:created>
  <dcterms:modified xsi:type="dcterms:W3CDTF">2016-09-27T17:04:00Z</dcterms:modified>
</cp:coreProperties>
</file>