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7C" w:rsidRDefault="0030647C" w:rsidP="00045169">
      <w:pPr>
        <w:jc w:val="both"/>
        <w:rPr>
          <w:rFonts w:ascii="Book Antiqua" w:hAnsi="Book Antiqua"/>
        </w:rPr>
      </w:pPr>
      <w:r w:rsidRPr="0030647C">
        <w:rPr>
          <w:rFonts w:ascii="Book Antiqua" w:hAnsi="Book Antiqua"/>
        </w:rPr>
        <w:t>Zagadnienia obowiązujące do kolokwium w sem</w:t>
      </w:r>
      <w:r>
        <w:rPr>
          <w:rFonts w:ascii="Book Antiqua" w:hAnsi="Book Antiqua"/>
        </w:rPr>
        <w:t>e</w:t>
      </w:r>
      <w:r w:rsidRPr="0030647C">
        <w:rPr>
          <w:rFonts w:ascii="Book Antiqua" w:hAnsi="Book Antiqua"/>
        </w:rPr>
        <w:t>strze zimowy</w:t>
      </w:r>
      <w:r w:rsidR="001D59BD">
        <w:rPr>
          <w:rFonts w:ascii="Book Antiqua" w:hAnsi="Book Antiqua"/>
        </w:rPr>
        <w:t>m roku akademickiego 2015/2016</w:t>
      </w:r>
      <w:r w:rsidR="0076507E">
        <w:rPr>
          <w:rFonts w:ascii="Book Antiqua" w:hAnsi="Book Antiqua"/>
        </w:rPr>
        <w:t xml:space="preserve"> </w:t>
      </w:r>
      <w:r w:rsidRPr="0030647C">
        <w:rPr>
          <w:rFonts w:ascii="Book Antiqua" w:hAnsi="Book Antiqua"/>
        </w:rPr>
        <w:t>N</w:t>
      </w:r>
      <w:r w:rsidR="0076507E">
        <w:rPr>
          <w:rFonts w:ascii="Book Antiqua" w:hAnsi="Book Antiqua"/>
        </w:rPr>
        <w:t>S</w:t>
      </w:r>
      <w:r w:rsidR="00D54605">
        <w:rPr>
          <w:rFonts w:ascii="Book Antiqua" w:hAnsi="Book Antiqua"/>
        </w:rPr>
        <w:t>P (W</w:t>
      </w:r>
      <w:r w:rsidRPr="0030647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III</w:t>
      </w:r>
      <w:r w:rsidRPr="0030647C">
        <w:rPr>
          <w:rFonts w:ascii="Book Antiqua" w:hAnsi="Book Antiqua"/>
        </w:rPr>
        <w:t>:</w:t>
      </w:r>
    </w:p>
    <w:p w:rsid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Cele postępowania karnego</w:t>
      </w:r>
    </w:p>
    <w:p w:rsidR="00E7303F" w:rsidRPr="00E7303F" w:rsidRDefault="00E7303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Pr="00E7303F">
        <w:rPr>
          <w:rFonts w:ascii="Book Antiqua" w:hAnsi="Book Antiqua"/>
        </w:rPr>
        <w:t>odzaje procesu w zależności od ro</w:t>
      </w:r>
      <w:r w:rsidR="0033735E">
        <w:rPr>
          <w:rFonts w:ascii="Book Antiqua" w:hAnsi="Book Antiqua"/>
        </w:rPr>
        <w:t>dzaju odpowiedzialności prawnej</w:t>
      </w:r>
    </w:p>
    <w:p w:rsidR="00E7303F" w:rsidRPr="00E7303F" w:rsidRDefault="00E7303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Tr</w:t>
      </w:r>
      <w:r w:rsidR="0033735E">
        <w:rPr>
          <w:rFonts w:ascii="Book Antiqua" w:hAnsi="Book Antiqua"/>
        </w:rPr>
        <w:t>yby postępowania</w:t>
      </w:r>
    </w:p>
    <w:p w:rsidR="00E7303F" w:rsidRPr="00E7303F" w:rsidRDefault="00E7303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Pr="00E7303F">
        <w:rPr>
          <w:rFonts w:ascii="Book Antiqua" w:hAnsi="Book Antiqua"/>
        </w:rPr>
        <w:t>ost</w:t>
      </w:r>
      <w:r w:rsidR="0033735E">
        <w:rPr>
          <w:rFonts w:ascii="Book Antiqua" w:hAnsi="Book Antiqua"/>
        </w:rPr>
        <w:t>ępowanie zasadnicze i dodatkowe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Tryby ścigania przestępstw i ich cechy charakterystyczne</w:t>
      </w:r>
    </w:p>
    <w:p w:rsid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Wniosek o ściganie – złożenie, cofnięcie, ściganie osób wskazanych i niewskazanych we wniosku</w:t>
      </w:r>
    </w:p>
    <w:p w:rsid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Mediacja. Jej rola w procesie karnym oraz skutki procesowe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Pojęcie i rodzaje właściwości sądu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Badanie właściwości przez sąd oraz spory o właściwość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Skład sądu oraz sposób jego wyznaczania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Wyłączenie sędziego z mocy prawa (</w:t>
      </w:r>
      <w:proofErr w:type="spellStart"/>
      <w:r w:rsidRPr="001D59BD">
        <w:rPr>
          <w:rFonts w:ascii="Book Antiqua" w:hAnsi="Book Antiqua"/>
        </w:rPr>
        <w:t>iudex</w:t>
      </w:r>
      <w:proofErr w:type="spellEnd"/>
      <w:r w:rsidRPr="001D59BD">
        <w:rPr>
          <w:rFonts w:ascii="Book Antiqua" w:hAnsi="Book Antiqua"/>
        </w:rPr>
        <w:t xml:space="preserve"> </w:t>
      </w:r>
      <w:proofErr w:type="spellStart"/>
      <w:r w:rsidRPr="001D59BD">
        <w:rPr>
          <w:rFonts w:ascii="Book Antiqua" w:hAnsi="Book Antiqua"/>
        </w:rPr>
        <w:t>inhabilis</w:t>
      </w:r>
      <w:proofErr w:type="spellEnd"/>
      <w:r w:rsidRPr="001D59BD">
        <w:rPr>
          <w:rFonts w:ascii="Book Antiqua" w:hAnsi="Book Antiqua"/>
        </w:rPr>
        <w:t>) – przesłanki, tryb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Wyłączenie sędziego z mocy postanowienia sądu (</w:t>
      </w:r>
      <w:proofErr w:type="spellStart"/>
      <w:r w:rsidRPr="001D59BD">
        <w:rPr>
          <w:rFonts w:ascii="Book Antiqua" w:hAnsi="Book Antiqua"/>
        </w:rPr>
        <w:t>iudex</w:t>
      </w:r>
      <w:proofErr w:type="spellEnd"/>
      <w:r w:rsidRPr="001D59BD">
        <w:rPr>
          <w:rFonts w:ascii="Book Antiqua" w:hAnsi="Book Antiqua"/>
        </w:rPr>
        <w:t xml:space="preserve"> </w:t>
      </w:r>
      <w:proofErr w:type="spellStart"/>
      <w:r w:rsidRPr="001D59BD">
        <w:rPr>
          <w:rFonts w:ascii="Book Antiqua" w:hAnsi="Book Antiqua"/>
        </w:rPr>
        <w:t>suspectus</w:t>
      </w:r>
      <w:proofErr w:type="spellEnd"/>
      <w:r w:rsidRPr="001D59BD">
        <w:rPr>
          <w:rFonts w:ascii="Book Antiqua" w:hAnsi="Book Antiqua"/>
        </w:rPr>
        <w:t>) – przesłanki, tryb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Tryb wyłączenia sędziego, skutki procesowe niewyłączenia sędziego podlegającego wyłączeniu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Wyłączenie prokuratora, organu prowadzącego postępowanie przygotowawcze oraz oskarżyciela publicznego – przesłanki, tryb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Kumulacja ról procesowych w postępowaniu karnym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Pojęcie pokrzywdzonego, osoby wykonujące prawa pokrzywdzonego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Oskarżyciel posiłkowy uboczny – wstąpienie w prawa, odstąpienie od oskarżenia, konsekwencje śmierci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Skarga subsydiarna – podmioty uprawnione do jej wniesienia i tryb jej wnoszenia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Oskarżyciel prywatny - wstąpienie w prawa, odstąpienie od oskarżenia, konsekwencje śmierci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Wstąpienie przez pokrzywdzonego w prawa strony w postępowaniu jurysdykcyjnym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Oskarżony, podejrzany, osoba podejrzana. Obowiązki dowodowe oskarżonego i osoby podejrzanej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Pełnomocnik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Obrońca oskarżonego. Obrona obligatoryjna i obrona z urzędu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Cofnięcie aktu oskarżenia. Odstąpienie od oskarżenia przez oskarżyciela posiłkowego i prywatnego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Konsekwencje śmierci stron postępowania</w:t>
      </w:r>
    </w:p>
    <w:p w:rsid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Skutki wadliwości czynności procesowych</w:t>
      </w:r>
    </w:p>
    <w:p w:rsid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Rodzaje wyroków sądu I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II instancji, szczególne rodzaje wyroków</w:t>
      </w:r>
    </w:p>
    <w:p w:rsid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Uzasadnianie wyroków sądu I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II instancji</w:t>
      </w:r>
    </w:p>
    <w:p w:rsidR="00C0698F" w:rsidRPr="00C0698F" w:rsidRDefault="00C0698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C0698F">
        <w:rPr>
          <w:rFonts w:ascii="Book Antiqua" w:hAnsi="Book Antiqua"/>
        </w:rPr>
        <w:t>Narada i głosowanie nad wyrokiem</w:t>
      </w:r>
    </w:p>
    <w:p w:rsidR="00C0698F" w:rsidRDefault="00C0698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Postanowienia i zarządzenia</w:t>
      </w:r>
    </w:p>
    <w:p w:rsid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Świadek koronny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Termin zawity, prekluzyjny i instrukcyjny, procedura przywrócenia terminu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Zasady doręczenia pism procesowych oraz wezwań i zawiadomień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>Protokół i inne sposoby utrwalania czynności procesowych</w:t>
      </w:r>
    </w:p>
    <w:p w:rsidR="001D59BD" w:rsidRP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t xml:space="preserve">Świadek anonimowy – podstawy i sposób </w:t>
      </w:r>
      <w:proofErr w:type="spellStart"/>
      <w:r w:rsidRPr="001D59BD">
        <w:rPr>
          <w:rFonts w:ascii="Book Antiqua" w:hAnsi="Book Antiqua"/>
        </w:rPr>
        <w:t>anonimizacji</w:t>
      </w:r>
      <w:proofErr w:type="spellEnd"/>
    </w:p>
    <w:p w:rsidR="001D59BD" w:rsidRDefault="001D59BD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1D59BD">
        <w:rPr>
          <w:rFonts w:ascii="Book Antiqua" w:hAnsi="Book Antiqua"/>
        </w:rPr>
        <w:lastRenderedPageBreak/>
        <w:t>Regulacje zapewniające ochronę świadka w polskim procesie karnym</w:t>
      </w:r>
    </w:p>
    <w:p w:rsidR="00C0698F" w:rsidRPr="00C0698F" w:rsidRDefault="00C0698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C0698F">
        <w:rPr>
          <w:rFonts w:ascii="Book Antiqua" w:hAnsi="Book Antiqua"/>
        </w:rPr>
        <w:t>Przeszukanie – podstawy prawne, sposób dokonania, organy uprawnione</w:t>
      </w:r>
    </w:p>
    <w:p w:rsidR="00C0698F" w:rsidRPr="00C0698F" w:rsidRDefault="00C0698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C0698F">
        <w:rPr>
          <w:rFonts w:ascii="Book Antiqua" w:hAnsi="Book Antiqua"/>
        </w:rPr>
        <w:t>Przeszukanie instytucji państwowych, samorządowych oraz postępowanie w przypadku dokumentów objętych tajemnicami prawnie chronionymi</w:t>
      </w:r>
    </w:p>
    <w:p w:rsidR="00C0698F" w:rsidRDefault="00C0698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C0698F">
        <w:rPr>
          <w:rFonts w:ascii="Book Antiqua" w:hAnsi="Book Antiqua"/>
        </w:rPr>
        <w:t>Kontrola i utrwalanie rozmów – do</w:t>
      </w:r>
      <w:r>
        <w:rPr>
          <w:rFonts w:ascii="Book Antiqua" w:hAnsi="Book Antiqua"/>
        </w:rPr>
        <w:t>puszczalność, tryb stosowania,</w:t>
      </w:r>
    </w:p>
    <w:p w:rsidR="00E7303F" w:rsidRPr="00E7303F" w:rsidRDefault="00C0698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C0698F">
        <w:rPr>
          <w:rFonts w:ascii="Book Antiqua" w:hAnsi="Book Antiqua"/>
        </w:rPr>
        <w:t xml:space="preserve">Kontrola i utrwalanie rozmów – </w:t>
      </w:r>
      <w:r>
        <w:rPr>
          <w:rFonts w:ascii="Book Antiqua" w:hAnsi="Book Antiqua"/>
        </w:rPr>
        <w:t>granice podmiotowe, przedmiotowe i temporalne</w:t>
      </w:r>
    </w:p>
    <w:p w:rsidR="00C0698F" w:rsidRDefault="00C0698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C0698F">
        <w:rPr>
          <w:rFonts w:ascii="Book Antiqua" w:hAnsi="Book Antiqua"/>
        </w:rPr>
        <w:t>Biegły – powołanie, opinia, możliwość kwestionowania opinii biegłego. Tzw. opinia prywatna</w:t>
      </w:r>
    </w:p>
    <w:p w:rsidR="00E7303F" w:rsidRPr="00E7303F" w:rsidRDefault="00E7303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E7303F">
        <w:rPr>
          <w:rFonts w:ascii="Book Antiqua" w:hAnsi="Book Antiqua"/>
        </w:rPr>
        <w:t>Opinia sądowo-psychiatryczna, obserwacja psychiatryczna</w:t>
      </w:r>
    </w:p>
    <w:p w:rsidR="00E7303F" w:rsidRPr="00E7303F" w:rsidRDefault="00E7303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33735E">
        <w:rPr>
          <w:rFonts w:ascii="Book Antiqua" w:hAnsi="Book Antiqua"/>
        </w:rPr>
        <w:t>pecjaliści, tłumacze</w:t>
      </w:r>
    </w:p>
    <w:p w:rsidR="00E7303F" w:rsidRPr="00E7303F" w:rsidRDefault="00E7303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33735E">
        <w:rPr>
          <w:rFonts w:ascii="Book Antiqua" w:hAnsi="Book Antiqua"/>
        </w:rPr>
        <w:t>ywiad środowiskowy</w:t>
      </w:r>
    </w:p>
    <w:p w:rsidR="00E7303F" w:rsidRPr="00E7303F" w:rsidRDefault="00E7303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33735E">
        <w:rPr>
          <w:rFonts w:ascii="Book Antiqua" w:hAnsi="Book Antiqua"/>
        </w:rPr>
        <w:t>ględziny i otwarcie zwłok</w:t>
      </w:r>
    </w:p>
    <w:p w:rsidR="00E7303F" w:rsidRPr="00E7303F" w:rsidRDefault="00E7303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33735E">
        <w:rPr>
          <w:rFonts w:ascii="Book Antiqua" w:hAnsi="Book Antiqua"/>
        </w:rPr>
        <w:t>izja lokalna</w:t>
      </w:r>
    </w:p>
    <w:p w:rsidR="00E7303F" w:rsidRPr="00E7303F" w:rsidRDefault="00E7303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33735E">
        <w:rPr>
          <w:rFonts w:ascii="Book Antiqua" w:hAnsi="Book Antiqua"/>
        </w:rPr>
        <w:t>ksperyment procesowy</w:t>
      </w:r>
    </w:p>
    <w:p w:rsidR="00E7303F" w:rsidRPr="00E7303F" w:rsidRDefault="00E7303F" w:rsidP="0033735E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33735E">
        <w:rPr>
          <w:rFonts w:ascii="Book Antiqua" w:hAnsi="Book Antiqua"/>
        </w:rPr>
        <w:t>kazanie</w:t>
      </w:r>
      <w:bookmarkStart w:id="0" w:name="_GoBack"/>
      <w:bookmarkEnd w:id="0"/>
    </w:p>
    <w:p w:rsidR="00C0698F" w:rsidRPr="00C0698F" w:rsidRDefault="00C0698F" w:rsidP="0033735E">
      <w:pPr>
        <w:pStyle w:val="Akapitzlist"/>
        <w:jc w:val="both"/>
        <w:rPr>
          <w:rFonts w:ascii="Book Antiqua" w:hAnsi="Book Antiqua"/>
        </w:rPr>
      </w:pPr>
    </w:p>
    <w:p w:rsidR="00827C57" w:rsidRPr="006D4D7C" w:rsidRDefault="00827C57" w:rsidP="0033735E">
      <w:pPr>
        <w:jc w:val="both"/>
        <w:rPr>
          <w:rFonts w:ascii="Book Antiqua" w:hAnsi="Book Antiqua"/>
          <w:b/>
        </w:rPr>
      </w:pPr>
    </w:p>
    <w:sectPr w:rsidR="00827C57" w:rsidRPr="006D4D7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2D9"/>
    <w:multiLevelType w:val="multilevel"/>
    <w:tmpl w:val="3D788F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8662B5"/>
    <w:multiLevelType w:val="hybridMultilevel"/>
    <w:tmpl w:val="0FD00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5C34"/>
    <w:multiLevelType w:val="multilevel"/>
    <w:tmpl w:val="FEA2526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C55FE0"/>
    <w:multiLevelType w:val="multilevel"/>
    <w:tmpl w:val="E2EE760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D72B5D"/>
    <w:multiLevelType w:val="multilevel"/>
    <w:tmpl w:val="7ADEF4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3F7CDA"/>
    <w:multiLevelType w:val="hybridMultilevel"/>
    <w:tmpl w:val="1590A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3E5900"/>
    <w:multiLevelType w:val="multilevel"/>
    <w:tmpl w:val="5A3637B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BE617C"/>
    <w:multiLevelType w:val="hybridMultilevel"/>
    <w:tmpl w:val="1AAA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D05E5"/>
    <w:multiLevelType w:val="multilevel"/>
    <w:tmpl w:val="9B2C7F0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BC7CD6"/>
    <w:multiLevelType w:val="hybridMultilevel"/>
    <w:tmpl w:val="C7328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9C0E1B"/>
    <w:multiLevelType w:val="multilevel"/>
    <w:tmpl w:val="884EC0B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FC45D7"/>
    <w:multiLevelType w:val="multilevel"/>
    <w:tmpl w:val="1ED434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D36579"/>
    <w:multiLevelType w:val="multilevel"/>
    <w:tmpl w:val="57E0C1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181085"/>
    <w:multiLevelType w:val="hybridMultilevel"/>
    <w:tmpl w:val="DF10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E966F5"/>
    <w:multiLevelType w:val="hybridMultilevel"/>
    <w:tmpl w:val="15EA2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B930D4"/>
    <w:multiLevelType w:val="multilevel"/>
    <w:tmpl w:val="FE98BDB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477C"/>
    <w:multiLevelType w:val="multilevel"/>
    <w:tmpl w:val="688C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F4384"/>
    <w:multiLevelType w:val="multilevel"/>
    <w:tmpl w:val="A80668F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6B0626"/>
    <w:multiLevelType w:val="multilevel"/>
    <w:tmpl w:val="40B85CA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17"/>
  </w:num>
  <w:num w:numId="12">
    <w:abstractNumId w:val="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13"/>
  </w:num>
  <w:num w:numId="17">
    <w:abstractNumId w:val="1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BD"/>
    <w:rsid w:val="00045169"/>
    <w:rsid w:val="00103C62"/>
    <w:rsid w:val="001528BD"/>
    <w:rsid w:val="00163797"/>
    <w:rsid w:val="001669C6"/>
    <w:rsid w:val="001C2F36"/>
    <w:rsid w:val="001D59BD"/>
    <w:rsid w:val="001E6783"/>
    <w:rsid w:val="00260014"/>
    <w:rsid w:val="0030647C"/>
    <w:rsid w:val="0033735E"/>
    <w:rsid w:val="003D4FB3"/>
    <w:rsid w:val="004815CC"/>
    <w:rsid w:val="006B4606"/>
    <w:rsid w:val="006C137B"/>
    <w:rsid w:val="006D4D7C"/>
    <w:rsid w:val="00763F20"/>
    <w:rsid w:val="0076507E"/>
    <w:rsid w:val="007B1917"/>
    <w:rsid w:val="00827C57"/>
    <w:rsid w:val="00847A31"/>
    <w:rsid w:val="009035B1"/>
    <w:rsid w:val="009660BA"/>
    <w:rsid w:val="009B05B6"/>
    <w:rsid w:val="00A97511"/>
    <w:rsid w:val="00B4673C"/>
    <w:rsid w:val="00B92A5D"/>
    <w:rsid w:val="00C0698F"/>
    <w:rsid w:val="00D54605"/>
    <w:rsid w:val="00DF301C"/>
    <w:rsid w:val="00E6500D"/>
    <w:rsid w:val="00E7303F"/>
    <w:rsid w:val="00EC7BF0"/>
    <w:rsid w:val="00F14219"/>
    <w:rsid w:val="00F21089"/>
    <w:rsid w:val="00F33CEF"/>
    <w:rsid w:val="00F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32BC2-A619-444B-A2F2-7C19ACF8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DB42B4"/>
  </w:style>
  <w:style w:type="character" w:customStyle="1" w:styleId="StopkaZnak">
    <w:name w:val="Stopka Znak"/>
    <w:basedOn w:val="Domylnaczcionkaakapitu"/>
    <w:link w:val="Stopka"/>
    <w:uiPriority w:val="99"/>
    <w:semiHidden/>
    <w:rsid w:val="00DB42B4"/>
  </w:style>
  <w:style w:type="character" w:styleId="Odwoaniedokomentarza">
    <w:name w:val="annotation reference"/>
    <w:basedOn w:val="Domylnaczcionkaakapitu"/>
    <w:uiPriority w:val="99"/>
    <w:semiHidden/>
    <w:unhideWhenUsed/>
    <w:rsid w:val="009C542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42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42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42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Book Antiqua" w:hAnsi="Book Antiqua"/>
      <w:b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DB42B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DB42B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42B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42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9C54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42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Olcia</dc:creator>
  <cp:lastModifiedBy>Magdalena Podolska</cp:lastModifiedBy>
  <cp:revision>2</cp:revision>
  <cp:lastPrinted>2014-12-13T19:15:00Z</cp:lastPrinted>
  <dcterms:created xsi:type="dcterms:W3CDTF">2015-10-31T16:09:00Z</dcterms:created>
  <dcterms:modified xsi:type="dcterms:W3CDTF">2015-10-31T16:09:00Z</dcterms:modified>
  <dc:language>pl-PL</dc:language>
</cp:coreProperties>
</file>