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80" w:rsidRPr="00BA2880" w:rsidRDefault="00BA2880" w:rsidP="00BA2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PRAWO GOSPODARCZE PUBLICZNE </w:t>
      </w:r>
    </w:p>
    <w:p w:rsidR="00BA2880" w:rsidRPr="00BA2880" w:rsidRDefault="00B82154" w:rsidP="00BA2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wieczorowe </w:t>
      </w:r>
      <w:r w:rsidR="00BA2880" w:rsidRPr="00BA2880">
        <w:rPr>
          <w:rFonts w:ascii="Times New Roman" w:hAnsi="Times New Roman" w:cs="Times New Roman"/>
          <w:sz w:val="24"/>
          <w:szCs w:val="24"/>
        </w:rPr>
        <w:t xml:space="preserve">– rok III </w:t>
      </w:r>
    </w:p>
    <w:p w:rsidR="00BA2880" w:rsidRPr="00BA2880" w:rsidRDefault="00BA2880" w:rsidP="00BA2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880" w:rsidRPr="00BA2880" w:rsidRDefault="00BA2880" w:rsidP="00BA28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2880">
        <w:rPr>
          <w:rFonts w:ascii="Times New Roman" w:hAnsi="Times New Roman" w:cs="Times New Roman"/>
          <w:b/>
          <w:sz w:val="24"/>
          <w:szCs w:val="24"/>
        </w:rPr>
        <w:t>Zagadnienia na kolokwium</w:t>
      </w:r>
    </w:p>
    <w:p w:rsidR="00BA2880" w:rsidRPr="00BA2880" w:rsidRDefault="00BA2880" w:rsidP="00BA2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Pojęcie prawa gospodarczego.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Publiczne prawo gospodarcze a prywatne prawo gospodarcze.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Pojęcie i podział prawa publicznego gospodarczego.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Zasady swoiste prawa publicznego gospodarczego. </w:t>
      </w:r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Źródła publicznego prawa gospodarczego.</w:t>
      </w:r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społecznej gospodarki rynkowej.</w:t>
      </w:r>
    </w:p>
    <w:p w:rsidR="0009226F" w:rsidRDefault="0009226F" w:rsidP="0009226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6F">
        <w:rPr>
          <w:rFonts w:ascii="Times New Roman" w:hAnsi="Times New Roman" w:cs="Times New Roman"/>
          <w:sz w:val="24"/>
          <w:szCs w:val="24"/>
        </w:rPr>
        <w:t>Wolność działalności gospodarczej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Pojęcie </w:t>
      </w:r>
      <w:r w:rsidR="0009226F">
        <w:rPr>
          <w:rFonts w:ascii="Times New Roman" w:hAnsi="Times New Roman" w:cs="Times New Roman"/>
          <w:sz w:val="24"/>
          <w:szCs w:val="24"/>
        </w:rPr>
        <w:t xml:space="preserve">i wyznaczniki </w:t>
      </w:r>
      <w:r>
        <w:rPr>
          <w:rFonts w:ascii="Times New Roman" w:hAnsi="Times New Roman" w:cs="Times New Roman"/>
          <w:sz w:val="24"/>
          <w:szCs w:val="24"/>
        </w:rPr>
        <w:t>działalności gospodarczej.</w:t>
      </w:r>
      <w:r w:rsidRPr="00BA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przedsiębiorcy i rodzaje przedsiębiorców.</w:t>
      </w:r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Przedsiębiorca a przedsiębiorstwo.</w:t>
      </w:r>
    </w:p>
    <w:p w:rsidR="005215DD" w:rsidRPr="00BA2880" w:rsidRDefault="005215DD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 rzeczowe, osobiste i pośrednie.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Osoba fizyczna jako podmiot prawa publicznego gospodarczego.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prawna jako podmiot</w:t>
      </w:r>
      <w:r w:rsidRPr="00BA2880">
        <w:rPr>
          <w:rFonts w:ascii="Times New Roman" w:hAnsi="Times New Roman" w:cs="Times New Roman"/>
          <w:sz w:val="24"/>
          <w:szCs w:val="24"/>
        </w:rPr>
        <w:t xml:space="preserve"> prawa publicznego gospodarczego.</w:t>
      </w:r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Tzw. „ułomna osoba prawna” jako podmiot</w:t>
      </w:r>
      <w:r w:rsidRPr="00BA2880">
        <w:rPr>
          <w:rFonts w:ascii="Times New Roman" w:hAnsi="Times New Roman" w:cs="Times New Roman"/>
          <w:sz w:val="24"/>
          <w:szCs w:val="24"/>
        </w:rPr>
        <w:t xml:space="preserve"> prawa publicznego gospodarczego. </w:t>
      </w:r>
    </w:p>
    <w:p w:rsidR="0009226F" w:rsidRDefault="0009226F" w:rsidP="0009226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226F">
        <w:rPr>
          <w:rFonts w:ascii="Times New Roman" w:hAnsi="Times New Roman" w:cs="Times New Roman"/>
          <w:sz w:val="24"/>
          <w:szCs w:val="24"/>
        </w:rPr>
        <w:t>Mikroprzedsiębiorcy</w:t>
      </w:r>
      <w:proofErr w:type="spellEnd"/>
      <w:r w:rsidRPr="0009226F">
        <w:rPr>
          <w:rFonts w:ascii="Times New Roman" w:hAnsi="Times New Roman" w:cs="Times New Roman"/>
          <w:sz w:val="24"/>
          <w:szCs w:val="24"/>
        </w:rPr>
        <w:t>, mali i średni przedsiębiorcy.</w:t>
      </w:r>
    </w:p>
    <w:p w:rsidR="00513025" w:rsidRPr="00BA2880" w:rsidRDefault="00513025" w:rsidP="0051302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Rzecznik </w:t>
      </w:r>
      <w:r w:rsidRPr="00513025">
        <w:rPr>
          <w:rFonts w:ascii="Times New Roman" w:hAnsi="Times New Roman" w:cs="Times New Roman"/>
          <w:sz w:val="24"/>
          <w:szCs w:val="24"/>
        </w:rPr>
        <w:t>Małych i Średnich Przedsiębiorców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Osoby zagraniczne i przedsiębiorcy zagraniczni jako podmioty działalności gospodarczej. </w:t>
      </w:r>
    </w:p>
    <w:p w:rsidR="00BA2880" w:rsidRDefault="00BA2880" w:rsidP="00BA28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Przedstawicielstwa i oddziały przedsiębiorców zagranicznych. </w:t>
      </w:r>
    </w:p>
    <w:p w:rsidR="00B82154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Centralna Ewidencja i Informac</w:t>
      </w:r>
      <w:r w:rsidR="00B82154">
        <w:rPr>
          <w:rFonts w:ascii="Times New Roman" w:hAnsi="Times New Roman" w:cs="Times New Roman"/>
          <w:sz w:val="24"/>
          <w:szCs w:val="24"/>
        </w:rPr>
        <w:t>ja o Działalności Gospodarczej.</w:t>
      </w:r>
    </w:p>
    <w:p w:rsidR="00BA2880" w:rsidRPr="00BA2880" w:rsidRDefault="00B82154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Krajowy Rejestr Sądowy.</w:t>
      </w:r>
      <w:r w:rsidR="00BA2880" w:rsidRPr="00BA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80" w:rsidRPr="00BA2880" w:rsidRDefault="00BA2880" w:rsidP="00BA28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Pojęcie policji administracyjnej w gospodarce i jej rodzaje.</w:t>
      </w:r>
      <w:r w:rsidR="009C6A6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A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FB" w:rsidRPr="00BA2880" w:rsidRDefault="00BA2880" w:rsidP="009C6A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Ciężary policyjne.</w:t>
      </w:r>
      <w:r w:rsidR="009C6A6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sectPr w:rsidR="000C1EFB" w:rsidRPr="00BA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7A" w:rsidRDefault="00BB667A" w:rsidP="009C6A60">
      <w:pPr>
        <w:spacing w:after="0" w:line="240" w:lineRule="auto"/>
      </w:pPr>
      <w:r>
        <w:separator/>
      </w:r>
    </w:p>
  </w:endnote>
  <w:endnote w:type="continuationSeparator" w:id="0">
    <w:p w:rsidR="00BB667A" w:rsidRDefault="00BB667A" w:rsidP="009C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7A" w:rsidRDefault="00BB667A" w:rsidP="009C6A60">
      <w:pPr>
        <w:spacing w:after="0" w:line="240" w:lineRule="auto"/>
      </w:pPr>
      <w:r>
        <w:separator/>
      </w:r>
    </w:p>
  </w:footnote>
  <w:footnote w:type="continuationSeparator" w:id="0">
    <w:p w:rsidR="00BB667A" w:rsidRDefault="00BB667A" w:rsidP="009C6A60">
      <w:pPr>
        <w:spacing w:after="0" w:line="240" w:lineRule="auto"/>
      </w:pPr>
      <w:r>
        <w:continuationSeparator/>
      </w:r>
    </w:p>
  </w:footnote>
  <w:footnote w:id="1">
    <w:p w:rsidR="009C6A60" w:rsidRDefault="009C6A60">
      <w:pPr>
        <w:pStyle w:val="Tekstprzypisudolnego"/>
      </w:pPr>
      <w:r>
        <w:rPr>
          <w:rStyle w:val="Odwoanieprzypisudolnego"/>
        </w:rPr>
        <w:footnoteRef/>
      </w:r>
      <w:r>
        <w:t xml:space="preserve"> Nie obowiązuje gr. 2 (poniedziałkowej) z uwagi na nieprzerobienie tego materiału na ćwiczeniach</w:t>
      </w:r>
      <w:r w:rsidR="00635256">
        <w:t>.</w:t>
      </w:r>
    </w:p>
  </w:footnote>
  <w:footnote w:id="2">
    <w:p w:rsidR="009C6A60" w:rsidRDefault="009C6A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A60">
        <w:t>Nie obowiązuje gr. 2 (poniedziałkowej) z uwagi na nieprzerobienie tego materiału na ćwiczeniach</w:t>
      </w:r>
      <w:r w:rsidR="00635256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65A"/>
    <w:multiLevelType w:val="hybridMultilevel"/>
    <w:tmpl w:val="8E10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0FAC"/>
    <w:multiLevelType w:val="hybridMultilevel"/>
    <w:tmpl w:val="AF445BA8"/>
    <w:lvl w:ilvl="0" w:tplc="EA6E3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0"/>
    <w:rsid w:val="0009226F"/>
    <w:rsid w:val="00305DE5"/>
    <w:rsid w:val="00513025"/>
    <w:rsid w:val="005215DD"/>
    <w:rsid w:val="00635256"/>
    <w:rsid w:val="007E5979"/>
    <w:rsid w:val="009C6A60"/>
    <w:rsid w:val="00A404DC"/>
    <w:rsid w:val="00B82154"/>
    <w:rsid w:val="00BA2880"/>
    <w:rsid w:val="00BB667A"/>
    <w:rsid w:val="00E01AE9"/>
    <w:rsid w:val="00E369CE"/>
    <w:rsid w:val="00F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7</cp:revision>
  <dcterms:created xsi:type="dcterms:W3CDTF">2018-11-27T20:54:00Z</dcterms:created>
  <dcterms:modified xsi:type="dcterms:W3CDTF">2018-11-27T21:12:00Z</dcterms:modified>
</cp:coreProperties>
</file>