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80" w:rsidRPr="00BA2880" w:rsidRDefault="00BA2880" w:rsidP="00BA28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PRAWO GOSPODARCZE PUBLICZNE </w:t>
      </w:r>
    </w:p>
    <w:p w:rsidR="00BA2880" w:rsidRPr="00BA2880" w:rsidRDefault="00BA2880" w:rsidP="00BA28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SSP gr 5 – rok III </w:t>
      </w:r>
    </w:p>
    <w:p w:rsidR="00BA2880" w:rsidRPr="00BA2880" w:rsidRDefault="00BA2880" w:rsidP="00BA28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880" w:rsidRPr="00BA2880" w:rsidRDefault="00BA2880" w:rsidP="00BA2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880">
        <w:rPr>
          <w:rFonts w:ascii="Times New Roman" w:hAnsi="Times New Roman" w:cs="Times New Roman"/>
          <w:b/>
          <w:sz w:val="24"/>
          <w:szCs w:val="24"/>
        </w:rPr>
        <w:t>Zagadnienia na kolokwium</w:t>
      </w:r>
    </w:p>
    <w:p w:rsidR="00BA2880" w:rsidRPr="00BA2880" w:rsidRDefault="00BA2880" w:rsidP="00BA28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Pojęcie prawa gospodarczego.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Publiczne prawo gospodarcze a prywatne prawo gospodarcze.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Pojęcie i podział prawa publicznego gospodarczego.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Funkcje państwa wobec gospodarki w społecznej gospodarce rynkowej.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Zasady swoiste prawa publicznego gospodarczego. </w:t>
      </w:r>
    </w:p>
    <w:p w:rsid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>Źródła publicznego prawa gospodarczego.</w:t>
      </w:r>
    </w:p>
    <w:p w:rsid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społecznej gospodarki rynkowej.</w:t>
      </w:r>
    </w:p>
    <w:p w:rsidR="0009226F" w:rsidRDefault="0009226F" w:rsidP="0009226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26F">
        <w:rPr>
          <w:rFonts w:ascii="Times New Roman" w:hAnsi="Times New Roman" w:cs="Times New Roman"/>
          <w:sz w:val="24"/>
          <w:szCs w:val="24"/>
        </w:rPr>
        <w:t>Wolność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 </w:t>
      </w:r>
      <w:r w:rsidR="0009226F">
        <w:rPr>
          <w:rFonts w:ascii="Times New Roman" w:hAnsi="Times New Roman" w:cs="Times New Roman"/>
          <w:sz w:val="24"/>
          <w:szCs w:val="24"/>
        </w:rPr>
        <w:t xml:space="preserve">i wyznaczniki </w:t>
      </w:r>
      <w:r>
        <w:rPr>
          <w:rFonts w:ascii="Times New Roman" w:hAnsi="Times New Roman" w:cs="Times New Roman"/>
          <w:sz w:val="24"/>
          <w:szCs w:val="24"/>
        </w:rPr>
        <w:t>działalności gospodarczej.</w:t>
      </w:r>
      <w:r w:rsidRPr="00BA2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przedsiębiorcy i rodzaje przedsiębiorców.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>Przedsiębiorca a przedsiębiorstwo.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Osoba fizyczna jako podmiot prawa publicznego gospodarczego.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prawna jako podmiot</w:t>
      </w:r>
      <w:r w:rsidRPr="00BA2880">
        <w:rPr>
          <w:rFonts w:ascii="Times New Roman" w:hAnsi="Times New Roman" w:cs="Times New Roman"/>
          <w:sz w:val="24"/>
          <w:szCs w:val="24"/>
        </w:rPr>
        <w:t xml:space="preserve"> prawa publicznego gospodarczego.</w:t>
      </w:r>
    </w:p>
    <w:p w:rsid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Tzw. „ułomna osoba prawna” jako podmiot</w:t>
      </w:r>
      <w:r w:rsidRPr="00BA2880">
        <w:rPr>
          <w:rFonts w:ascii="Times New Roman" w:hAnsi="Times New Roman" w:cs="Times New Roman"/>
          <w:sz w:val="24"/>
          <w:szCs w:val="24"/>
        </w:rPr>
        <w:t xml:space="preserve"> prawa publicznego gospodarczego. </w:t>
      </w:r>
    </w:p>
    <w:p w:rsidR="0009226F" w:rsidRPr="00BA2880" w:rsidRDefault="0009226F" w:rsidP="0009226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26F">
        <w:rPr>
          <w:rFonts w:ascii="Times New Roman" w:hAnsi="Times New Roman" w:cs="Times New Roman"/>
          <w:sz w:val="24"/>
          <w:szCs w:val="24"/>
        </w:rPr>
        <w:t>Mikroprzedsiębiorcy</w:t>
      </w:r>
      <w:proofErr w:type="spellEnd"/>
      <w:r w:rsidRPr="0009226F">
        <w:rPr>
          <w:rFonts w:ascii="Times New Roman" w:hAnsi="Times New Roman" w:cs="Times New Roman"/>
          <w:sz w:val="24"/>
          <w:szCs w:val="24"/>
        </w:rPr>
        <w:t>, mali i średni przedsiębiorcy.</w:t>
      </w:r>
    </w:p>
    <w:p w:rsid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Osoby zagraniczne i przedsiębiorcy zagraniczni jako podmioty działalności gospodarczej. </w:t>
      </w:r>
    </w:p>
    <w:p w:rsidR="00BA2880" w:rsidRDefault="00BA2880" w:rsidP="00BA28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Przedstawicielstwa i oddziały przedsiębiorców zagranicznych. </w:t>
      </w:r>
    </w:p>
    <w:p w:rsidR="0009226F" w:rsidRPr="00BA2880" w:rsidRDefault="0009226F" w:rsidP="000922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26F">
        <w:rPr>
          <w:rFonts w:ascii="Times New Roman" w:hAnsi="Times New Roman" w:cs="Times New Roman"/>
          <w:sz w:val="24"/>
          <w:szCs w:val="24"/>
        </w:rPr>
        <w:t>Podstawowe obowiązki przedsiębiorców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Decyzja administracyjna jako źródło praw i obowiązków przedsiębiorców.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Rejestracja przedsiębiorców (Centralna Ewidencja i Informacja o Działalności Gospodarczej, rejestr przedsiębiorców w Krajowym Rejestrze Sądowym).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Przedmiotowe ograniczenia wolności gospodarczej.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Podmiotowe ograniczenia wolności gospodarczej.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>Pojęcie reglamentacji gospodarczej i jej gł</w:t>
      </w:r>
      <w:r w:rsidR="00F30891">
        <w:rPr>
          <w:rFonts w:ascii="Times New Roman" w:hAnsi="Times New Roman" w:cs="Times New Roman"/>
          <w:sz w:val="24"/>
          <w:szCs w:val="24"/>
        </w:rPr>
        <w:t>ówne obszary.</w:t>
      </w:r>
      <w:r w:rsidRPr="00BA2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Instrumenty prawne reglamentacji gospodarczej.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Koncesjonowanie działalności gospodarczej (koncesja jako prawna forma działania administracji gospodarczej, postępowanie koncesyjne, trwałość decyzji koncesyjnej, nadzór organu koncesyjnego).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lastRenderedPageBreak/>
        <w:t xml:space="preserve">Zezwolenie jako prawna forma działania administracji gospodarczej.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Koncesja a zezwolenie.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>ałalność gospodarcza regulowana</w:t>
      </w:r>
      <w:r w:rsidRPr="00BA2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Praktyki ograniczające konkurencję (porozumienia ograniczające konkurencję, nadużywanie pozycji dominującej).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Praktyki naruszające zbiorowe interesy konsumentów.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2880">
        <w:rPr>
          <w:rFonts w:ascii="Times New Roman" w:hAnsi="Times New Roman" w:cs="Times New Roman"/>
          <w:sz w:val="24"/>
          <w:szCs w:val="24"/>
        </w:rPr>
        <w:t>Antykonkurencyjna</w:t>
      </w:r>
      <w:proofErr w:type="spellEnd"/>
      <w:r w:rsidRPr="00BA2880">
        <w:rPr>
          <w:rFonts w:ascii="Times New Roman" w:hAnsi="Times New Roman" w:cs="Times New Roman"/>
          <w:sz w:val="24"/>
          <w:szCs w:val="24"/>
        </w:rPr>
        <w:t xml:space="preserve"> koncentracja gospodarcza.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Organy oraz środki prawne zwalczania praktyk ograniczających konkurencję i praktyk naruszających zbiorowe interesy konsumentów.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Środki prawne zapobiegania </w:t>
      </w:r>
      <w:proofErr w:type="spellStart"/>
      <w:r w:rsidRPr="00BA2880">
        <w:rPr>
          <w:rFonts w:ascii="Times New Roman" w:hAnsi="Times New Roman" w:cs="Times New Roman"/>
          <w:sz w:val="24"/>
          <w:szCs w:val="24"/>
        </w:rPr>
        <w:t>antykonkurencyjnej</w:t>
      </w:r>
      <w:proofErr w:type="spellEnd"/>
      <w:r w:rsidRPr="00BA2880">
        <w:rPr>
          <w:rFonts w:ascii="Times New Roman" w:hAnsi="Times New Roman" w:cs="Times New Roman"/>
          <w:sz w:val="24"/>
          <w:szCs w:val="24"/>
        </w:rPr>
        <w:t xml:space="preserve"> koncentracji gospodarczej. </w:t>
      </w:r>
    </w:p>
    <w:p w:rsidR="00BA2880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 xml:space="preserve">Pojęcie policji administracyjnej w gospodarce i jej rodzaje. </w:t>
      </w:r>
    </w:p>
    <w:p w:rsidR="000C1EFB" w:rsidRPr="00BA2880" w:rsidRDefault="00BA2880" w:rsidP="00BA28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>Ciężary pol</w:t>
      </w:r>
      <w:bookmarkStart w:id="0" w:name="_GoBack"/>
      <w:bookmarkEnd w:id="0"/>
      <w:r w:rsidRPr="00BA2880">
        <w:rPr>
          <w:rFonts w:ascii="Times New Roman" w:hAnsi="Times New Roman" w:cs="Times New Roman"/>
          <w:sz w:val="24"/>
          <w:szCs w:val="24"/>
        </w:rPr>
        <w:t>icyjne.</w:t>
      </w:r>
    </w:p>
    <w:sectPr w:rsidR="000C1EFB" w:rsidRPr="00BA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665A"/>
    <w:multiLevelType w:val="hybridMultilevel"/>
    <w:tmpl w:val="8E10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0FAC"/>
    <w:multiLevelType w:val="hybridMultilevel"/>
    <w:tmpl w:val="AF445BA8"/>
    <w:lvl w:ilvl="0" w:tplc="EA6E3E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9226F"/>
    <w:rsid w:val="007E5979"/>
    <w:rsid w:val="00A404DC"/>
    <w:rsid w:val="00BA2880"/>
    <w:rsid w:val="00E369CE"/>
    <w:rsid w:val="00F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2018-11-17T08:22:00Z</dcterms:created>
  <dcterms:modified xsi:type="dcterms:W3CDTF">2018-11-17T08:39:00Z</dcterms:modified>
</cp:coreProperties>
</file>