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2021/2022</w:t>
      </w:r>
    </w:p>
    <w:p w:rsidR="00031947" w:rsidRPr="00031947" w:rsidRDefault="0060595C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grupy ćwiczeniowej nr 3</w:t>
      </w:r>
    </w:p>
    <w:p w:rsidR="00086633" w:rsidRDefault="00086633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>zajęcia prowadzi: dr hab. Elżbieta Klat-Górska prof. UWr</w:t>
      </w:r>
    </w:p>
    <w:p w:rsidR="007D64FC" w:rsidRDefault="007D64FC" w:rsidP="007D64FC"/>
    <w:p w:rsidR="007D64FC" w:rsidRPr="00EB5BAE" w:rsidRDefault="0009085A" w:rsidP="007D64FC">
      <w:pPr>
        <w:rPr>
          <w:rFonts w:ascii="Arial" w:hAnsi="Arial" w:cs="Arial"/>
        </w:rPr>
      </w:pPr>
      <w:r w:rsidRPr="00EB5BAE">
        <w:rPr>
          <w:rFonts w:ascii="Arial" w:hAnsi="Arial" w:cs="Arial"/>
          <w:b/>
          <w:sz w:val="24"/>
          <w:szCs w:val="24"/>
        </w:rPr>
        <w:t>2022-03-01</w:t>
      </w:r>
      <w:r w:rsidR="007D64FC" w:rsidRPr="00EB5BAE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</w:t>
      </w:r>
      <w:r w:rsidR="00EB5BAE" w:rsidRPr="00EB5BAE">
        <w:rPr>
          <w:rFonts w:ascii="Arial" w:hAnsi="Arial" w:cs="Arial"/>
        </w:rPr>
        <w:t xml:space="preserve"> </w:t>
      </w:r>
      <w:r w:rsidR="007D64FC" w:rsidRPr="00EB5BAE">
        <w:rPr>
          <w:rFonts w:ascii="Arial" w:hAnsi="Arial" w:cs="Arial"/>
        </w:rPr>
        <w:t xml:space="preserve">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7D64FC">
      <w:pPr>
        <w:rPr>
          <w:rFonts w:ascii="Arial" w:hAnsi="Arial" w:cs="Arial"/>
        </w:rPr>
      </w:pPr>
    </w:p>
    <w:p w:rsidR="003D35AB" w:rsidRPr="00186E4C" w:rsidRDefault="0009085A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2022-03-08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</w:p>
    <w:p w:rsidR="00A1233B" w:rsidRPr="00C731AA" w:rsidRDefault="0009085A" w:rsidP="00C731AA">
      <w:pPr>
        <w:rPr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Zastaw</w:t>
      </w:r>
      <w:r w:rsidR="00A1233B" w:rsidRPr="00C731AA">
        <w:rPr>
          <w:sz w:val="24"/>
          <w:szCs w:val="24"/>
          <w:u w:val="single"/>
        </w:rPr>
        <w:t>:</w:t>
      </w:r>
    </w:p>
    <w:p w:rsidR="00A1233B" w:rsidRPr="00A1233B" w:rsidRDefault="00A1233B" w:rsidP="00A1233B">
      <w:pPr>
        <w:spacing w:after="0"/>
        <w:ind w:left="360"/>
        <w:rPr>
          <w:sz w:val="24"/>
          <w:szCs w:val="24"/>
        </w:rPr>
      </w:pPr>
      <w:r w:rsidRPr="00A1233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A1233B">
        <w:rPr>
          <w:sz w:val="24"/>
          <w:szCs w:val="24"/>
        </w:rPr>
        <w:t xml:space="preserve">zabezpieczenie wierzytelności - wiadomości ogólne </w:t>
      </w:r>
    </w:p>
    <w:p w:rsid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 xml:space="preserve">rodzaje i funkcja, akcesoryjny charakter prawa zastawu, 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powstanie zastawu, przedmiot, zakres zabezpieczenia,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treść prawa, zobowiązania stron w stosunku zastawu,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tryby zaspokojenia wierzyciela</w:t>
      </w:r>
    </w:p>
    <w:p w:rsidR="0009085A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1233B">
        <w:rPr>
          <w:sz w:val="24"/>
          <w:szCs w:val="24"/>
        </w:rPr>
        <w:t>wygaśnięcie zastawu</w:t>
      </w:r>
      <w:r>
        <w:rPr>
          <w:sz w:val="24"/>
          <w:szCs w:val="24"/>
        </w:rPr>
        <w:t xml:space="preserve"> </w:t>
      </w:r>
    </w:p>
    <w:p w:rsidR="00A1233B" w:rsidRPr="00186E4C" w:rsidRDefault="00A1233B" w:rsidP="00A1233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9085A" w:rsidRPr="00E23EF8" w:rsidRDefault="0009085A" w:rsidP="0009085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9085A" w:rsidRPr="00C731AA" w:rsidRDefault="0009085A" w:rsidP="0009085A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09085A" w:rsidRDefault="0009085A" w:rsidP="0009085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4131EC" w:rsidRDefault="004131EC" w:rsidP="004131EC">
      <w:pPr>
        <w:pStyle w:val="Akapitzlist"/>
        <w:numPr>
          <w:ilvl w:val="0"/>
          <w:numId w:val="3"/>
        </w:numPr>
        <w:spacing w:after="200" w:line="276" w:lineRule="auto"/>
      </w:pPr>
      <w:r>
        <w:t>ustawa z dnia 6 grudnia 1996 r. o zastawie rejestrowym i rejestrze zastawów,</w:t>
      </w:r>
    </w:p>
    <w:p w:rsidR="004131EC" w:rsidRDefault="004131EC" w:rsidP="004131EC">
      <w:pPr>
        <w:pStyle w:val="Akapitzlist"/>
        <w:spacing w:after="200" w:line="276" w:lineRule="auto"/>
        <w:ind w:left="765"/>
      </w:pPr>
      <w:r>
        <w:t>(tekst jedn.: Dz. U. z 2018 r. poz. 2017)</w:t>
      </w:r>
    </w:p>
    <w:p w:rsidR="008E5EB7" w:rsidRPr="008E5EB7" w:rsidRDefault="008E5EB7" w:rsidP="008E5EB7">
      <w:pPr>
        <w:pStyle w:val="Akapitzlist"/>
        <w:spacing w:after="200" w:line="276" w:lineRule="auto"/>
        <w:ind w:left="765"/>
      </w:pPr>
    </w:p>
    <w:p w:rsidR="008E5EB7" w:rsidRPr="00C731AA" w:rsidRDefault="008E5EB7" w:rsidP="008E5EB7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3D35AB" w:rsidRPr="008E5EB7" w:rsidRDefault="008E5EB7" w:rsidP="004131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57E2F">
        <w:t xml:space="preserve">Edward Gniewek, </w:t>
      </w:r>
      <w:r w:rsidRPr="008E5EB7">
        <w:rPr>
          <w:i/>
        </w:rPr>
        <w:t>Prawo rzeczowe</w:t>
      </w:r>
      <w:r w:rsidRPr="00C57E2F">
        <w:t xml:space="preserve">, </w:t>
      </w:r>
      <w:r w:rsidRPr="008E5EB7">
        <w:rPr>
          <w:bCs/>
        </w:rPr>
        <w:t xml:space="preserve">wydanie trzynaste, wydawnictwo C.H.BECK, Warszawa 2020  </w:t>
      </w:r>
    </w:p>
    <w:p w:rsidR="008E5EB7" w:rsidRPr="004131EC" w:rsidRDefault="008E5EB7" w:rsidP="00413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bCs/>
          <w:i/>
        </w:rPr>
      </w:pPr>
      <w:r w:rsidRPr="004131EC">
        <w:rPr>
          <w:bCs/>
          <w:i/>
        </w:rPr>
        <w:t>literatura uzupełniająca (do wyboru; nieobowiązkowa):</w:t>
      </w:r>
    </w:p>
    <w:p w:rsidR="008E5EB7" w:rsidRPr="004131EC" w:rsidRDefault="008E5EB7" w:rsidP="004131EC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4131EC">
        <w:rPr>
          <w:bCs/>
          <w:lang w:bidi="pl-PL"/>
        </w:rPr>
        <w:t xml:space="preserve">Teresa Mróz, Agata Zając, </w:t>
      </w:r>
      <w:r w:rsidRPr="004131EC">
        <w:rPr>
          <w:bCs/>
          <w:i/>
          <w:lang w:bidi="pl-PL"/>
        </w:rPr>
        <w:t>Prawo cywilne. Część ogólna i prawo rzeczowe. Kazusy</w:t>
      </w:r>
      <w:r w:rsidRPr="004131EC">
        <w:rPr>
          <w:bCs/>
          <w:lang w:bidi="pl-PL"/>
        </w:rPr>
        <w:t>, wydanie czwarte, wydawnictwo Wolters Kluwer Polska, Warszawa 2018</w:t>
      </w:r>
    </w:p>
    <w:p w:rsidR="008E5EB7" w:rsidRPr="00C57E2F" w:rsidRDefault="008E5EB7" w:rsidP="008E5EB7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lastRenderedPageBreak/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8E5EB7" w:rsidRPr="008E5EB7" w:rsidRDefault="008E5EB7" w:rsidP="008E5EB7">
      <w:pPr>
        <w:pStyle w:val="Akapitzlist"/>
        <w:ind w:left="502"/>
        <w:rPr>
          <w:rFonts w:ascii="Arial" w:hAnsi="Arial" w:cs="Arial"/>
        </w:rPr>
      </w:pPr>
    </w:p>
    <w:p w:rsidR="003D35AB" w:rsidRPr="00186E4C" w:rsidRDefault="003D35AB" w:rsidP="003D35AB">
      <w:pPr>
        <w:rPr>
          <w:rFonts w:ascii="Arial" w:hAnsi="Arial" w:cs="Arial"/>
          <w:b/>
          <w:sz w:val="24"/>
          <w:szCs w:val="24"/>
        </w:rPr>
      </w:pPr>
      <w:r w:rsidRPr="00186E4C">
        <w:rPr>
          <w:rFonts w:ascii="Arial" w:hAnsi="Arial" w:cs="Arial"/>
          <w:b/>
          <w:sz w:val="24"/>
          <w:szCs w:val="24"/>
        </w:rPr>
        <w:t xml:space="preserve">2022-03-15   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</w:p>
    <w:p w:rsidR="00C731AA" w:rsidRPr="00C731AA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Hipoteka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istota i funkcja oraz rodzaje hipoteki; akcesoryjny charakter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powstanie hipoteki i treść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przedmiot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obciążenia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wierzytelność zabezpieczona hipoteką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zabezpieczenia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 xml:space="preserve">tryb zaspokojenia wierzytelności hipotecznej </w:t>
      </w:r>
      <w:r>
        <w:tab/>
        <w:t xml:space="preserve"> 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ochrona hipoteki</w:t>
      </w:r>
      <w:r>
        <w:tab/>
        <w:t xml:space="preserve"> </w:t>
      </w:r>
    </w:p>
    <w:p w:rsidR="00C731AA" w:rsidRPr="00A1233B" w:rsidRDefault="00C731AA" w:rsidP="00C731AA">
      <w:pPr>
        <w:pStyle w:val="Akapitzlist"/>
        <w:numPr>
          <w:ilvl w:val="0"/>
          <w:numId w:val="9"/>
        </w:numPr>
      </w:pPr>
      <w: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, z późn. zm.)</w:t>
      </w:r>
    </w:p>
    <w:p w:rsidR="00C731AA" w:rsidRPr="008E5EB7" w:rsidRDefault="00C731AA" w:rsidP="00C731AA">
      <w:pPr>
        <w:pStyle w:val="Akapitzlist"/>
        <w:spacing w:after="200" w:line="276" w:lineRule="auto"/>
        <w:ind w:left="765"/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Pr="00C731AA" w:rsidRDefault="00C731AA" w:rsidP="00C731A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57E2F">
        <w:t xml:space="preserve">Edward Gniewek, </w:t>
      </w:r>
      <w:r w:rsidRPr="00C731AA">
        <w:rPr>
          <w:i/>
        </w:rPr>
        <w:t>Prawo rzeczowe</w:t>
      </w:r>
      <w:r w:rsidRPr="00C57E2F">
        <w:t xml:space="preserve">, </w:t>
      </w:r>
      <w:r w:rsidRPr="00C731AA">
        <w:rPr>
          <w:bCs/>
        </w:rPr>
        <w:t xml:space="preserve">wydanie trzynaste, wydawnictwo C.H.BECK, Warszawa 2020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C731AA" w:rsidRPr="00C731AA" w:rsidRDefault="00C731AA" w:rsidP="00C731AA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Teresa Mróz, Agata Zając, </w:t>
      </w:r>
      <w:r w:rsidRPr="00C731AA">
        <w:rPr>
          <w:bCs/>
          <w:i/>
          <w:lang w:bidi="pl-PL"/>
        </w:rPr>
        <w:t>Prawo cywilne. Część ogólna i prawo rzeczowe. Kazusy</w:t>
      </w:r>
      <w:r w:rsidRPr="00C731AA">
        <w:rPr>
          <w:bCs/>
          <w:lang w:bidi="pl-PL"/>
        </w:rPr>
        <w:t>, wydanie czwarte, wydawnictwo Wolters Kluwer Polska, Warszawa 2018</w:t>
      </w:r>
    </w:p>
    <w:p w:rsidR="00C731AA" w:rsidRPr="00C57E2F" w:rsidRDefault="00C731AA" w:rsidP="00C731AA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EB5BAE" w:rsidRDefault="00EB5BAE" w:rsidP="007D64FC">
      <w:pPr>
        <w:rPr>
          <w:rFonts w:ascii="Arial" w:hAnsi="Arial" w:cs="Arial"/>
        </w:rPr>
      </w:pPr>
    </w:p>
    <w:p w:rsidR="007D64FC" w:rsidRDefault="00EB5BAE" w:rsidP="003D35AB">
      <w:pPr>
        <w:pStyle w:val="Akapitzlist"/>
        <w:numPr>
          <w:ilvl w:val="2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EB5BAE">
        <w:rPr>
          <w:rFonts w:ascii="Arial" w:hAnsi="Arial" w:cs="Arial"/>
          <w:b/>
          <w:sz w:val="24"/>
          <w:szCs w:val="24"/>
        </w:rPr>
        <w:t>11:30 - 13:00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 </w:t>
      </w:r>
    </w:p>
    <w:p w:rsidR="000366BB" w:rsidRPr="000366BB" w:rsidRDefault="000366BB" w:rsidP="000366BB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366BB">
        <w:rPr>
          <w:rFonts w:ascii="Arial" w:hAnsi="Arial" w:cs="Arial"/>
          <w:b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  <w:u w:val="single"/>
        </w:rPr>
        <w:t>Testament jako podstawa dziedziczenia</w:t>
      </w:r>
      <w:r>
        <w:rPr>
          <w:rFonts w:ascii="Arial" w:hAnsi="Arial" w:cs="Arial"/>
          <w:sz w:val="24"/>
          <w:szCs w:val="24"/>
        </w:rPr>
        <w:t xml:space="preserve"> </w:t>
      </w:r>
      <w:r w:rsidRPr="000366BB">
        <w:rPr>
          <w:rFonts w:ascii="Arial" w:hAnsi="Arial" w:cs="Arial"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pojęcia znaczenia testamentu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366BB">
        <w:rPr>
          <w:rFonts w:ascii="Arial" w:hAnsi="Arial" w:cs="Arial"/>
          <w:sz w:val="24"/>
          <w:szCs w:val="24"/>
        </w:rPr>
        <w:t xml:space="preserve">estament jako szczególna czynność prawna,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sporządzenie testamentu; zakaz testamentów wspólnych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odwołanie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wykładnia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nieważność i bezskuteczność testament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otwarcie i ogłoszenie testamentu </w:t>
      </w:r>
    </w:p>
    <w:p w:rsidR="003D35A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formy testamentu</w:t>
      </w:r>
    </w:p>
    <w:p w:rsidR="000366BB" w:rsidRDefault="000366BB" w:rsidP="000366BB">
      <w:pPr>
        <w:pStyle w:val="Akapitzlist"/>
        <w:ind w:left="0"/>
        <w:rPr>
          <w:i/>
          <w:u w:val="single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lastRenderedPageBreak/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366BB" w:rsidRDefault="000366BB" w:rsidP="000366BB">
      <w:pPr>
        <w:pStyle w:val="Akapitzlist"/>
        <w:numPr>
          <w:ilvl w:val="0"/>
          <w:numId w:val="17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0366BB" w:rsidRPr="000366BB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7D64FC" w:rsidP="007D64FC">
      <w:pPr>
        <w:rPr>
          <w:rFonts w:ascii="Arial" w:hAnsi="Arial" w:cs="Arial"/>
          <w:b/>
          <w:sz w:val="24"/>
          <w:szCs w:val="24"/>
        </w:rPr>
      </w:pPr>
      <w:r w:rsidRPr="00114242">
        <w:rPr>
          <w:rFonts w:ascii="Arial" w:hAnsi="Arial" w:cs="Arial"/>
          <w:b/>
          <w:sz w:val="24"/>
          <w:szCs w:val="24"/>
        </w:rPr>
        <w:t xml:space="preserve">2022-03-29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</w:p>
    <w:p w:rsidR="00AB30E9" w:rsidRPr="00AB30E9" w:rsidRDefault="00AB30E9" w:rsidP="00AB30E9">
      <w:pPr>
        <w:rPr>
          <w:rFonts w:ascii="Arial" w:hAnsi="Arial" w:cs="Arial"/>
          <w:u w:val="single"/>
        </w:rPr>
      </w:pPr>
      <w:r w:rsidRPr="00AB30E9">
        <w:rPr>
          <w:rFonts w:ascii="Arial" w:hAnsi="Arial" w:cs="Arial"/>
          <w:u w:val="single"/>
        </w:rPr>
        <w:t>Treść testamentu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 xml:space="preserve">konieczna treść testamentu 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swoboda testowania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ustanowienie spadkobiercy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testament negatywny; wydziedziczenie</w:t>
      </w:r>
    </w:p>
    <w:p w:rsidR="007D64FC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inne rozrządzenia testamentowe - zapis zwykły, zapis windykacyjny, polecenie</w:t>
      </w:r>
    </w:p>
    <w:p w:rsidR="00716F62" w:rsidRDefault="00716F62" w:rsidP="00716F62">
      <w:pPr>
        <w:pStyle w:val="Akapitzlist"/>
        <w:ind w:left="0"/>
        <w:rPr>
          <w:i/>
          <w:u w:val="single"/>
        </w:rPr>
      </w:pPr>
    </w:p>
    <w:p w:rsidR="00716F62" w:rsidRPr="00E23EF8" w:rsidRDefault="00716F62" w:rsidP="00716F6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716F62" w:rsidRPr="00C731AA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716F62" w:rsidRDefault="00716F62" w:rsidP="00716F62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716F62" w:rsidRPr="000366BB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716F62" w:rsidRPr="000366BB" w:rsidRDefault="00716F62" w:rsidP="00716F62">
      <w:pPr>
        <w:pStyle w:val="Akapitzlist"/>
        <w:numPr>
          <w:ilvl w:val="0"/>
          <w:numId w:val="21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716F62" w:rsidRPr="000366BB" w:rsidRDefault="00716F62" w:rsidP="00716F6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716F62" w:rsidRPr="00924943" w:rsidRDefault="00716F62" w:rsidP="00716F62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14242" w:rsidRDefault="00114242" w:rsidP="007D64FC">
      <w:pPr>
        <w:rPr>
          <w:rFonts w:ascii="Arial" w:hAnsi="Arial" w:cs="Arial"/>
        </w:rPr>
      </w:pPr>
    </w:p>
    <w:p w:rsidR="007D64FC" w:rsidRPr="00EB5BAE" w:rsidRDefault="007D64FC" w:rsidP="007D64FC">
      <w:pPr>
        <w:rPr>
          <w:rFonts w:ascii="Arial" w:hAnsi="Arial" w:cs="Arial"/>
          <w:b/>
          <w:sz w:val="28"/>
          <w:szCs w:val="28"/>
        </w:rPr>
      </w:pPr>
      <w:r w:rsidRPr="00716F62">
        <w:rPr>
          <w:rFonts w:ascii="Arial" w:hAnsi="Arial" w:cs="Arial"/>
          <w:b/>
          <w:sz w:val="28"/>
          <w:szCs w:val="28"/>
        </w:rPr>
        <w:t xml:space="preserve">2022-04-05 </w:t>
      </w:r>
      <w:r w:rsidR="00716F62"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 </w:t>
      </w:r>
      <w:r w:rsidR="00EB5BAE" w:rsidRPr="00EB5BAE">
        <w:rPr>
          <w:rFonts w:ascii="Arial" w:hAnsi="Arial" w:cs="Arial"/>
          <w:b/>
          <w:sz w:val="28"/>
          <w:szCs w:val="28"/>
        </w:rPr>
        <w:t>11:30 - 13:00</w:t>
      </w:r>
    </w:p>
    <w:p w:rsidR="00AE5EA3" w:rsidRPr="00AE5EA3" w:rsidRDefault="00AE5EA3" w:rsidP="00AE5EA3">
      <w:pPr>
        <w:rPr>
          <w:rFonts w:ascii="Arial" w:hAnsi="Arial" w:cs="Arial"/>
          <w:u w:val="single"/>
        </w:rPr>
      </w:pPr>
      <w:r w:rsidRPr="00AE5EA3">
        <w:rPr>
          <w:rFonts w:ascii="Arial" w:hAnsi="Arial" w:cs="Arial"/>
          <w:u w:val="single"/>
        </w:rPr>
        <w:t>Zachowek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E5EA3">
        <w:rPr>
          <w:rFonts w:ascii="Arial" w:hAnsi="Arial" w:cs="Arial"/>
        </w:rPr>
        <w:t>chrona interesów najbliższych krewnych zmarłego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E5EA3">
        <w:rPr>
          <w:rFonts w:ascii="Arial" w:hAnsi="Arial" w:cs="Arial"/>
        </w:rPr>
        <w:t>odmioty uprawnione do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zobowiązani z tytułu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obliczanie kwoty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przedawnienie roszczenia o zachowek</w:t>
      </w:r>
    </w:p>
    <w:p w:rsidR="007D64FC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dziedziczenie roszczenia o zachowek</w:t>
      </w:r>
    </w:p>
    <w:p w:rsidR="00AE5EA3" w:rsidRDefault="00AE5EA3" w:rsidP="00AE5EA3">
      <w:pPr>
        <w:pStyle w:val="Akapitzlist"/>
        <w:ind w:left="0"/>
        <w:rPr>
          <w:i/>
          <w:u w:val="single"/>
        </w:rPr>
      </w:pPr>
    </w:p>
    <w:p w:rsidR="00AE5EA3" w:rsidRPr="00E23EF8" w:rsidRDefault="00AE5EA3" w:rsidP="00AE5EA3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AE5EA3" w:rsidRPr="00C731AA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AE5EA3" w:rsidRDefault="00AE5EA3" w:rsidP="009366AC">
      <w:pPr>
        <w:pStyle w:val="Akapitzlist"/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AE5EA3" w:rsidRPr="000366BB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851" w:hanging="284"/>
        <w:rPr>
          <w:u w:val="single"/>
        </w:rPr>
      </w:pPr>
      <w:r w:rsidRPr="000366BB">
        <w:rPr>
          <w:i/>
          <w:u w:val="single"/>
        </w:rPr>
        <w:lastRenderedPageBreak/>
        <w:t>literatura podstawowa:</w:t>
      </w:r>
    </w:p>
    <w:p w:rsidR="00AE5EA3" w:rsidRPr="000366BB" w:rsidRDefault="00AE5EA3" w:rsidP="009366AC">
      <w:pPr>
        <w:pStyle w:val="Akapitzlist"/>
        <w:numPr>
          <w:ilvl w:val="0"/>
          <w:numId w:val="24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AE5EA3" w:rsidRPr="000366BB" w:rsidRDefault="00AE5EA3" w:rsidP="00AE5EA3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AE5EA3" w:rsidRPr="00924943" w:rsidRDefault="00AE5EA3" w:rsidP="009366AC">
      <w:pPr>
        <w:pStyle w:val="Akapitzlist"/>
        <w:numPr>
          <w:ilvl w:val="0"/>
          <w:numId w:val="24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AE5EA3">
      <w:pPr>
        <w:rPr>
          <w:rFonts w:ascii="Arial" w:hAnsi="Arial" w:cs="Arial"/>
        </w:rPr>
      </w:pPr>
    </w:p>
    <w:p w:rsidR="007D64FC" w:rsidRPr="00AE5EA3" w:rsidRDefault="007D64FC" w:rsidP="007D64FC">
      <w:pPr>
        <w:rPr>
          <w:rFonts w:ascii="Arial" w:hAnsi="Arial" w:cs="Arial"/>
          <w:b/>
          <w:sz w:val="28"/>
          <w:szCs w:val="28"/>
        </w:rPr>
      </w:pPr>
      <w:r w:rsidRPr="00AE5EA3">
        <w:rPr>
          <w:rFonts w:ascii="Arial" w:hAnsi="Arial" w:cs="Arial"/>
          <w:b/>
          <w:sz w:val="28"/>
          <w:szCs w:val="28"/>
        </w:rPr>
        <w:t xml:space="preserve">2022-04-12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="00EB5BAE" w:rsidRPr="00EB5BAE">
        <w:rPr>
          <w:rFonts w:ascii="Arial" w:hAnsi="Arial" w:cs="Arial"/>
          <w:b/>
          <w:sz w:val="28"/>
          <w:szCs w:val="28"/>
        </w:rPr>
        <w:t>11:30 - 13:00</w:t>
      </w:r>
    </w:p>
    <w:p w:rsidR="007D64FC" w:rsidRPr="005B2986" w:rsidRDefault="005B2986" w:rsidP="007D64FC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zakaz zawierania umów o spadek po osobie żyjącej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 xml:space="preserve">zrzeczenie się dziedziczenia 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umowa o zbycie spadku lub udziału w spadku</w:t>
      </w:r>
    </w:p>
    <w:p w:rsidR="00AE5EA3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zbycie udziału w przedmiocie należącym do spadku</w:t>
      </w:r>
    </w:p>
    <w:p w:rsidR="009366AC" w:rsidRDefault="009366AC" w:rsidP="009366AC">
      <w:pPr>
        <w:pStyle w:val="Akapitzlist"/>
        <w:ind w:left="0"/>
        <w:rPr>
          <w:i/>
          <w:u w:val="single"/>
        </w:rPr>
      </w:pP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9366AC" w:rsidRDefault="009366AC" w:rsidP="009366AC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9366AC" w:rsidRPr="000366BB" w:rsidRDefault="009366AC" w:rsidP="009366AC">
      <w:pPr>
        <w:pStyle w:val="Akapitzlist"/>
        <w:numPr>
          <w:ilvl w:val="0"/>
          <w:numId w:val="2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9366AC">
      <w:pPr>
        <w:pStyle w:val="Akapitzlist"/>
        <w:numPr>
          <w:ilvl w:val="0"/>
          <w:numId w:val="28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7D64FC" w:rsidP="007D64FC">
      <w:pPr>
        <w:rPr>
          <w:rFonts w:ascii="Arial" w:hAnsi="Arial" w:cs="Arial"/>
          <w:b/>
          <w:sz w:val="28"/>
          <w:szCs w:val="28"/>
        </w:rPr>
      </w:pPr>
      <w:r w:rsidRPr="00D871F3">
        <w:rPr>
          <w:rFonts w:ascii="Arial" w:hAnsi="Arial" w:cs="Arial"/>
          <w:b/>
          <w:sz w:val="28"/>
          <w:szCs w:val="28"/>
        </w:rPr>
        <w:t xml:space="preserve">2022-04-26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  <w:r w:rsidRPr="00D871F3">
        <w:rPr>
          <w:rFonts w:ascii="Arial" w:hAnsi="Arial" w:cs="Arial"/>
          <w:b/>
          <w:sz w:val="28"/>
          <w:szCs w:val="28"/>
        </w:rPr>
        <w:t xml:space="preserve">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69299E" w:rsidRDefault="0069299E" w:rsidP="0069299E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lastRenderedPageBreak/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Pr="00031E32">
        <w:rPr>
          <w:rFonts w:cstheme="minorHAnsi"/>
        </w:rPr>
        <w:t>, wydanie 13, wydawnictwo C.H.BECK, Warszawa 2020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 xml:space="preserve">2022-05-10 </w:t>
      </w:r>
      <w:r w:rsidR="00C731AA" w:rsidRPr="00031E32">
        <w:rPr>
          <w:rFonts w:ascii="Arial" w:hAnsi="Arial" w:cs="Arial"/>
          <w:b/>
          <w:sz w:val="28"/>
          <w:szCs w:val="28"/>
        </w:rPr>
        <w:t xml:space="preserve">     </w:t>
      </w:r>
      <w:r w:rsidR="00EB5BAE" w:rsidRPr="00EB5BAE">
        <w:rPr>
          <w:rFonts w:ascii="Arial" w:hAnsi="Arial" w:cs="Arial"/>
          <w:b/>
          <w:sz w:val="24"/>
          <w:szCs w:val="24"/>
        </w:rPr>
        <w:t>11:30 - 13:00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Pr="004B7A7D">
        <w:rPr>
          <w:rFonts w:cstheme="minorHAnsi"/>
        </w:rPr>
        <w:t>- 30 minutowy sprawdzian wiedzy</w:t>
      </w:r>
      <w:r w:rsidR="008C60E8">
        <w:rPr>
          <w:rFonts w:cstheme="minorHAnsi"/>
        </w:rPr>
        <w:t xml:space="preserve">: </w:t>
      </w:r>
      <w:r w:rsidR="008C60E8">
        <w:rPr>
          <w:rFonts w:cstheme="minorHAnsi"/>
        </w:rPr>
        <w:br/>
        <w:t>ZAGADNIENIA podane w ramach ćwiczeń od 8 marca 2022 r. do 26 kwietnia 2022 r. (włącznie)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 xml:space="preserve"> (czasu według zegara USOS;</w:t>
      </w:r>
      <w:r w:rsidR="008C60E8">
        <w:rPr>
          <w:rFonts w:cstheme="minorHAnsi"/>
        </w:rPr>
        <w:t xml:space="preserve"> </w:t>
      </w:r>
      <w:r w:rsidR="00013715">
        <w:rPr>
          <w:rFonts w:cstheme="minorHAnsi"/>
          <w:b/>
        </w:rPr>
        <w:t>początek: 11</w:t>
      </w:r>
      <w:r>
        <w:rPr>
          <w:rFonts w:cstheme="minorHAnsi"/>
          <w:b/>
        </w:rPr>
        <w:t>:</w:t>
      </w:r>
      <w:r w:rsidR="00013715">
        <w:rPr>
          <w:rFonts w:cstheme="minorHAnsi"/>
          <w:b/>
        </w:rPr>
        <w:t>4</w:t>
      </w:r>
      <w:r>
        <w:rPr>
          <w:rFonts w:cstheme="minorHAnsi"/>
          <w:b/>
        </w:rPr>
        <w:t xml:space="preserve">5, koniec: </w:t>
      </w:r>
      <w:r w:rsidR="00013715">
        <w:rPr>
          <w:rFonts w:cstheme="minorHAnsi"/>
          <w:b/>
        </w:rPr>
        <w:t>12:1</w:t>
      </w:r>
      <w:r w:rsidRPr="00296125">
        <w:rPr>
          <w:rFonts w:cstheme="minorHAnsi"/>
          <w:b/>
        </w:rPr>
        <w:t>5</w:t>
      </w:r>
      <w:r w:rsidRPr="004B7A7D">
        <w:rPr>
          <w:rFonts w:cstheme="minorHAnsi"/>
        </w:rPr>
        <w:t xml:space="preserve">; 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15 pytań zamkniętych jednokrotnego wyboru</w:t>
      </w:r>
      <w:r w:rsidR="008C60E8">
        <w:rPr>
          <w:rFonts w:cstheme="minorHAnsi"/>
        </w:rPr>
        <w:t>)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godz. </w:t>
      </w:r>
      <w:r w:rsidR="00013715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:</w:t>
      </w:r>
      <w:r w:rsidR="0001371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5</w:t>
      </w:r>
      <w:r w:rsidRPr="00296125">
        <w:rPr>
          <w:rFonts w:cstheme="minorHAnsi"/>
          <w:b/>
          <w:sz w:val="24"/>
          <w:szCs w:val="24"/>
        </w:rPr>
        <w:t xml:space="preserve"> do </w:t>
      </w:r>
      <w:r w:rsidR="00013715">
        <w:rPr>
          <w:rFonts w:cstheme="minorHAnsi"/>
          <w:b/>
          <w:sz w:val="24"/>
          <w:szCs w:val="24"/>
        </w:rPr>
        <w:t>13</w:t>
      </w:r>
      <w:r w:rsidRPr="00296125">
        <w:rPr>
          <w:rFonts w:cstheme="minorHAnsi"/>
          <w:b/>
          <w:sz w:val="24"/>
          <w:szCs w:val="24"/>
        </w:rPr>
        <w:t>:</w:t>
      </w:r>
      <w:r w:rsidR="00013715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C731AA" w:rsidRDefault="00C731AA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Pr="004B7A7D">
        <w:rPr>
          <w:rFonts w:cstheme="minorHAnsi"/>
        </w:rPr>
        <w:t xml:space="preserve"> 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 xml:space="preserve">2022-05-17 </w:t>
      </w:r>
      <w:r w:rsidR="008C60E8">
        <w:rPr>
          <w:rFonts w:ascii="Arial" w:hAnsi="Arial" w:cs="Arial"/>
          <w:b/>
          <w:sz w:val="28"/>
          <w:szCs w:val="28"/>
        </w:rPr>
        <w:t xml:space="preserve">     </w:t>
      </w:r>
      <w:r w:rsidRPr="00031E32">
        <w:rPr>
          <w:rFonts w:ascii="Arial" w:hAnsi="Arial" w:cs="Arial"/>
          <w:b/>
          <w:sz w:val="28"/>
          <w:szCs w:val="28"/>
        </w:rPr>
        <w:t xml:space="preserve"> </w:t>
      </w:r>
      <w:r w:rsidR="008C60E8" w:rsidRPr="008C60E8">
        <w:rPr>
          <w:rFonts w:ascii="Arial" w:hAnsi="Arial" w:cs="Arial"/>
          <w:b/>
          <w:sz w:val="28"/>
          <w:szCs w:val="28"/>
        </w:rPr>
        <w:t>11:30 - 13:00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Dziedziczenie cudzoziemców</w:t>
      </w:r>
    </w:p>
    <w:p w:rsidR="00031E3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Międzyczasowe prawo spadkowe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6472F2" w:rsidRDefault="006472F2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A407D" w:rsidRDefault="006A407D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6A407D" w:rsidRDefault="006A407D" w:rsidP="006A407D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A407D" w:rsidRPr="00F662A5" w:rsidRDefault="006A407D" w:rsidP="006A407D">
      <w:pPr>
        <w:pStyle w:val="Akapitzlist"/>
        <w:spacing w:after="200" w:line="276" w:lineRule="auto"/>
        <w:ind w:left="1068"/>
        <w:rPr>
          <w:sz w:val="16"/>
          <w:szCs w:val="16"/>
        </w:rPr>
      </w:pP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13, wydawnictwo C.H.BECK, Warszawa 2020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lastRenderedPageBreak/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4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F3" w:rsidRDefault="002A78F3" w:rsidP="00716F62">
      <w:pPr>
        <w:spacing w:after="0" w:line="240" w:lineRule="auto"/>
      </w:pPr>
      <w:r>
        <w:separator/>
      </w:r>
    </w:p>
  </w:endnote>
  <w:endnote w:type="continuationSeparator" w:id="1">
    <w:p w:rsidR="002A78F3" w:rsidRDefault="002A78F3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171780"/>
      <w:docPartObj>
        <w:docPartGallery w:val="Page Numbers (Bottom of Page)"/>
        <w:docPartUnique/>
      </w:docPartObj>
    </w:sdtPr>
    <w:sdtContent>
      <w:p w:rsidR="00716F62" w:rsidRDefault="009E596D">
        <w:pPr>
          <w:pStyle w:val="Stopka"/>
          <w:jc w:val="right"/>
        </w:pPr>
        <w:fldSimple w:instr=" PAGE   \* MERGEFORMAT ">
          <w:r w:rsidR="00104BE1">
            <w:rPr>
              <w:noProof/>
            </w:rPr>
            <w:t>1</w:t>
          </w:r>
        </w:fldSimple>
      </w:p>
    </w:sdtContent>
  </w:sdt>
  <w:p w:rsidR="00716F62" w:rsidRDefault="00716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F3" w:rsidRDefault="002A78F3" w:rsidP="00716F62">
      <w:pPr>
        <w:spacing w:after="0" w:line="240" w:lineRule="auto"/>
      </w:pPr>
      <w:r>
        <w:separator/>
      </w:r>
    </w:p>
  </w:footnote>
  <w:footnote w:type="continuationSeparator" w:id="1">
    <w:p w:rsidR="002A78F3" w:rsidRDefault="002A78F3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97118"/>
    <w:multiLevelType w:val="hybridMultilevel"/>
    <w:tmpl w:val="D708E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122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2"/>
  </w:num>
  <w:num w:numId="5">
    <w:abstractNumId w:val="27"/>
  </w:num>
  <w:num w:numId="6">
    <w:abstractNumId w:val="28"/>
  </w:num>
  <w:num w:numId="7">
    <w:abstractNumId w:val="21"/>
  </w:num>
  <w:num w:numId="8">
    <w:abstractNumId w:val="8"/>
  </w:num>
  <w:num w:numId="9">
    <w:abstractNumId w:val="33"/>
  </w:num>
  <w:num w:numId="10">
    <w:abstractNumId w:val="7"/>
  </w:num>
  <w:num w:numId="11">
    <w:abstractNumId w:val="32"/>
  </w:num>
  <w:num w:numId="12">
    <w:abstractNumId w:val="0"/>
  </w:num>
  <w:num w:numId="13">
    <w:abstractNumId w:val="14"/>
  </w:num>
  <w:num w:numId="14">
    <w:abstractNumId w:val="17"/>
  </w:num>
  <w:num w:numId="15">
    <w:abstractNumId w:val="22"/>
  </w:num>
  <w:num w:numId="16">
    <w:abstractNumId w:val="25"/>
  </w:num>
  <w:num w:numId="17">
    <w:abstractNumId w:val="9"/>
  </w:num>
  <w:num w:numId="18">
    <w:abstractNumId w:val="31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16"/>
  </w:num>
  <w:num w:numId="24">
    <w:abstractNumId w:val="13"/>
  </w:num>
  <w:num w:numId="25">
    <w:abstractNumId w:val="10"/>
  </w:num>
  <w:num w:numId="26">
    <w:abstractNumId w:val="3"/>
  </w:num>
  <w:num w:numId="27">
    <w:abstractNumId w:val="29"/>
  </w:num>
  <w:num w:numId="28">
    <w:abstractNumId w:val="20"/>
  </w:num>
  <w:num w:numId="29">
    <w:abstractNumId w:val="4"/>
  </w:num>
  <w:num w:numId="30">
    <w:abstractNumId w:val="19"/>
  </w:num>
  <w:num w:numId="31">
    <w:abstractNumId w:val="11"/>
  </w:num>
  <w:num w:numId="32">
    <w:abstractNumId w:val="30"/>
  </w:num>
  <w:num w:numId="33">
    <w:abstractNumId w:val="1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FB"/>
    <w:rsid w:val="00013715"/>
    <w:rsid w:val="0002737A"/>
    <w:rsid w:val="00031947"/>
    <w:rsid w:val="00031E32"/>
    <w:rsid w:val="000366BB"/>
    <w:rsid w:val="00086633"/>
    <w:rsid w:val="0009085A"/>
    <w:rsid w:val="00104BE1"/>
    <w:rsid w:val="00114242"/>
    <w:rsid w:val="00186E4C"/>
    <w:rsid w:val="001C2BFB"/>
    <w:rsid w:val="002A78F3"/>
    <w:rsid w:val="003D35AB"/>
    <w:rsid w:val="004131EC"/>
    <w:rsid w:val="005B2986"/>
    <w:rsid w:val="0060595C"/>
    <w:rsid w:val="006472F2"/>
    <w:rsid w:val="0069299E"/>
    <w:rsid w:val="00695202"/>
    <w:rsid w:val="006A407D"/>
    <w:rsid w:val="00716F62"/>
    <w:rsid w:val="007D64FC"/>
    <w:rsid w:val="008C60E8"/>
    <w:rsid w:val="008E5EB7"/>
    <w:rsid w:val="00924943"/>
    <w:rsid w:val="009366AC"/>
    <w:rsid w:val="00937403"/>
    <w:rsid w:val="0096332A"/>
    <w:rsid w:val="009E596D"/>
    <w:rsid w:val="00A1233B"/>
    <w:rsid w:val="00AB30E9"/>
    <w:rsid w:val="00AE5EA3"/>
    <w:rsid w:val="00AF0AAE"/>
    <w:rsid w:val="00C731AA"/>
    <w:rsid w:val="00D871F3"/>
    <w:rsid w:val="00E76BCD"/>
    <w:rsid w:val="00EB5BAE"/>
    <w:rsid w:val="00EC3845"/>
    <w:rsid w:val="00ED03D7"/>
    <w:rsid w:val="00F662A5"/>
    <w:rsid w:val="00F7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Ela</cp:lastModifiedBy>
  <cp:revision>6</cp:revision>
  <dcterms:created xsi:type="dcterms:W3CDTF">2022-03-01T08:34:00Z</dcterms:created>
  <dcterms:modified xsi:type="dcterms:W3CDTF">2022-03-01T09:08:00Z</dcterms:modified>
</cp:coreProperties>
</file>