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A5C4" w14:textId="479179D7" w:rsidR="00CC341F" w:rsidRPr="00597EEA" w:rsidRDefault="00CC341F" w:rsidP="00CF07CC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597EEA">
        <w:rPr>
          <w:rFonts w:ascii="Verdana" w:hAnsi="Verdana" w:cs="Times New Roman"/>
          <w:b/>
          <w:sz w:val="20"/>
          <w:szCs w:val="20"/>
          <w:u w:val="single"/>
        </w:rPr>
        <w:t>PRZESTĘPCZOŚĆ SKARBOWA</w:t>
      </w:r>
      <w:r w:rsidR="00597EEA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597EEA">
        <w:rPr>
          <w:rFonts w:ascii="Verdana" w:hAnsi="Verdana" w:cs="Times New Roman"/>
          <w:b/>
          <w:sz w:val="20"/>
          <w:szCs w:val="20"/>
          <w:u w:val="single"/>
        </w:rPr>
        <w:t>– zagadnienia</w:t>
      </w:r>
    </w:p>
    <w:p w14:paraId="68F71D01" w14:textId="77777777" w:rsidR="00CF07CC" w:rsidRPr="00597EEA" w:rsidRDefault="00CF07CC" w:rsidP="00CF07CC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6B20902B" w14:textId="77777777" w:rsidR="00CF07CC" w:rsidRPr="00597EEA" w:rsidRDefault="00CF07CC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Charakterystyka przestępczości skarbowej w ujęciu historycznym</w:t>
      </w:r>
    </w:p>
    <w:p w14:paraId="5B47B589" w14:textId="77777777" w:rsidR="00CF07CC" w:rsidRPr="00597EEA" w:rsidRDefault="00CF07CC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Charakterystyka przestępczości skarbowej w Polsce i UE w XXI w.</w:t>
      </w:r>
    </w:p>
    <w:p w14:paraId="690C229B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Kumulatywny zbieg przepisów </w:t>
      </w:r>
      <w:r w:rsidR="00CF07CC" w:rsidRPr="00597EEA">
        <w:rPr>
          <w:rFonts w:ascii="Verdana" w:hAnsi="Verdana" w:cs="Times New Roman"/>
          <w:sz w:val="20"/>
          <w:szCs w:val="20"/>
        </w:rPr>
        <w:t xml:space="preserve">ustawy </w:t>
      </w:r>
      <w:r w:rsidRPr="00597EEA">
        <w:rPr>
          <w:rFonts w:ascii="Verdana" w:hAnsi="Verdana" w:cs="Times New Roman"/>
          <w:sz w:val="20"/>
          <w:szCs w:val="20"/>
        </w:rPr>
        <w:t xml:space="preserve">z art. 7 </w:t>
      </w:r>
      <w:proofErr w:type="spellStart"/>
      <w:r w:rsidRPr="00597EEA">
        <w:rPr>
          <w:rFonts w:ascii="Verdana" w:hAnsi="Verdana" w:cs="Times New Roman"/>
          <w:sz w:val="20"/>
          <w:szCs w:val="20"/>
        </w:rPr>
        <w:t>k.k.s</w:t>
      </w:r>
      <w:proofErr w:type="spellEnd"/>
      <w:r w:rsidRPr="00597EEA">
        <w:rPr>
          <w:rFonts w:ascii="Verdana" w:hAnsi="Verdana" w:cs="Times New Roman"/>
          <w:sz w:val="20"/>
          <w:szCs w:val="20"/>
        </w:rPr>
        <w:t>.</w:t>
      </w:r>
    </w:p>
    <w:p w14:paraId="11988C59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Idealny zbieg czynów karalnych z art. 8 </w:t>
      </w:r>
      <w:proofErr w:type="spellStart"/>
      <w:r w:rsidRPr="00597EEA">
        <w:rPr>
          <w:rFonts w:ascii="Verdana" w:hAnsi="Verdana" w:cs="Times New Roman"/>
          <w:sz w:val="20"/>
          <w:szCs w:val="20"/>
        </w:rPr>
        <w:t>k.k.s</w:t>
      </w:r>
      <w:proofErr w:type="spellEnd"/>
      <w:r w:rsidRPr="00597EEA">
        <w:rPr>
          <w:rFonts w:ascii="Verdana" w:hAnsi="Verdana" w:cs="Times New Roman"/>
          <w:sz w:val="20"/>
          <w:szCs w:val="20"/>
        </w:rPr>
        <w:t>.</w:t>
      </w:r>
    </w:p>
    <w:p w14:paraId="244CE55C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Przestępstwo skarbowe i wykroczenie skarbowe ciągłe</w:t>
      </w:r>
    </w:p>
    <w:p w14:paraId="3507C8A6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Realny zbieg przestępstw skarbowych</w:t>
      </w:r>
    </w:p>
    <w:p w14:paraId="06A95410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Realny zbieg wykroczeń skarbowych</w:t>
      </w:r>
    </w:p>
    <w:p w14:paraId="290A8F6E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Ciąg przestępstw skarbowych</w:t>
      </w:r>
    </w:p>
    <w:p w14:paraId="152D297C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Recydywa skarbowa</w:t>
      </w:r>
    </w:p>
    <w:p w14:paraId="009D2835" w14:textId="37B426A2" w:rsidR="00CC341F" w:rsidRPr="00597EEA" w:rsidRDefault="00597EEA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CC341F" w:rsidRPr="00597EEA">
        <w:rPr>
          <w:rFonts w:ascii="Verdana" w:hAnsi="Verdana" w:cs="Times New Roman"/>
          <w:sz w:val="20"/>
          <w:szCs w:val="20"/>
        </w:rPr>
        <w:t>Rozgraniczenie wykroczeń skarbowych i przestępstw skarbowych</w:t>
      </w:r>
    </w:p>
    <w:p w14:paraId="281C2889" w14:textId="77777777" w:rsidR="00CC341F" w:rsidRPr="00597EEA" w:rsidRDefault="00CF07CC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</w:t>
      </w:r>
      <w:r w:rsidR="00CC341F" w:rsidRPr="00597EEA">
        <w:rPr>
          <w:rFonts w:ascii="Verdana" w:hAnsi="Verdana" w:cs="Times New Roman"/>
          <w:sz w:val="20"/>
          <w:szCs w:val="20"/>
        </w:rPr>
        <w:t xml:space="preserve">Rozwarstwienie przestępstw skarbowych na </w:t>
      </w:r>
      <w:r w:rsidRPr="00597EEA">
        <w:rPr>
          <w:rFonts w:ascii="Verdana" w:hAnsi="Verdana" w:cs="Times New Roman"/>
          <w:sz w:val="20"/>
          <w:szCs w:val="20"/>
        </w:rPr>
        <w:t xml:space="preserve">poszczególne </w:t>
      </w:r>
      <w:r w:rsidR="00CC341F" w:rsidRPr="00597EEA">
        <w:rPr>
          <w:rFonts w:ascii="Verdana" w:hAnsi="Verdana" w:cs="Times New Roman"/>
          <w:sz w:val="20"/>
          <w:szCs w:val="20"/>
        </w:rPr>
        <w:t>typ</w:t>
      </w:r>
      <w:r w:rsidRPr="00597EEA">
        <w:rPr>
          <w:rFonts w:ascii="Verdana" w:hAnsi="Verdana" w:cs="Times New Roman"/>
          <w:sz w:val="20"/>
          <w:szCs w:val="20"/>
        </w:rPr>
        <w:t>y</w:t>
      </w:r>
      <w:r w:rsidR="00CC341F" w:rsidRPr="00597EEA">
        <w:rPr>
          <w:rFonts w:ascii="Verdana" w:hAnsi="Verdana" w:cs="Times New Roman"/>
          <w:sz w:val="20"/>
          <w:szCs w:val="20"/>
        </w:rPr>
        <w:t xml:space="preserve"> </w:t>
      </w:r>
    </w:p>
    <w:p w14:paraId="5B4BDAD9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Nadzwyczajne obostrzenie kary w kodeksie karnym skarbowym</w:t>
      </w:r>
    </w:p>
    <w:p w14:paraId="08179C53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Przedawnienie i zatarcie skazania w prawie karnym skarbowym</w:t>
      </w:r>
    </w:p>
    <w:p w14:paraId="0CD4E416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Systematyka części szczególnej kodeksu karnego skarbowego</w:t>
      </w:r>
    </w:p>
    <w:p w14:paraId="5E3EE1DA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Charakterystyka wybranych przestępstw i wykroczeń podatkowych</w:t>
      </w:r>
    </w:p>
    <w:p w14:paraId="2D6B5B70" w14:textId="53803453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Zwalczanie zorganizowanej przestępczości podatkowej z wykorzystaniem </w:t>
      </w:r>
      <w:r w:rsidR="00597EEA">
        <w:rPr>
          <w:rFonts w:ascii="Verdana" w:hAnsi="Verdana" w:cs="Times New Roman"/>
          <w:sz w:val="20"/>
          <w:szCs w:val="20"/>
        </w:rPr>
        <w:t xml:space="preserve">   </w:t>
      </w:r>
      <w:r w:rsidRPr="00597EEA">
        <w:rPr>
          <w:rFonts w:ascii="Verdana" w:hAnsi="Verdana" w:cs="Times New Roman"/>
          <w:sz w:val="20"/>
          <w:szCs w:val="20"/>
        </w:rPr>
        <w:t>konstrukcji idealnego zbiegu czynów karalnych</w:t>
      </w:r>
    </w:p>
    <w:p w14:paraId="0A9F991A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Charakterystyka wybranych przestępstw i wykroczeń celnych</w:t>
      </w:r>
    </w:p>
    <w:p w14:paraId="27C143E0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Charakterystyka wybranych przestępstw i wykroczeń dewizowych</w:t>
      </w:r>
    </w:p>
    <w:p w14:paraId="3C55C284" w14:textId="77777777" w:rsidR="00CF07CC" w:rsidRPr="00597EEA" w:rsidRDefault="00CF07CC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Kontrabanda jako rodzaj pospolitej przestępczości celno-dewizowej</w:t>
      </w:r>
    </w:p>
    <w:p w14:paraId="41140923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Charakterystyka wybranych przestępstw i wykroczeń hazardowych</w:t>
      </w:r>
    </w:p>
    <w:p w14:paraId="38AF4C9F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Kary </w:t>
      </w:r>
      <w:r w:rsidR="00CF07CC" w:rsidRPr="00597EEA">
        <w:rPr>
          <w:rFonts w:ascii="Verdana" w:hAnsi="Verdana" w:cs="Times New Roman"/>
          <w:sz w:val="20"/>
          <w:szCs w:val="20"/>
        </w:rPr>
        <w:t>w zwalczaniu</w:t>
      </w:r>
      <w:r w:rsidRPr="00597EEA">
        <w:rPr>
          <w:rFonts w:ascii="Verdana" w:hAnsi="Verdana" w:cs="Times New Roman"/>
          <w:sz w:val="20"/>
          <w:szCs w:val="20"/>
        </w:rPr>
        <w:t xml:space="preserve"> przestępczoś</w:t>
      </w:r>
      <w:r w:rsidR="00CF07CC" w:rsidRPr="00597EEA">
        <w:rPr>
          <w:rFonts w:ascii="Verdana" w:hAnsi="Verdana" w:cs="Times New Roman"/>
          <w:sz w:val="20"/>
          <w:szCs w:val="20"/>
        </w:rPr>
        <w:t>ci</w:t>
      </w:r>
      <w:r w:rsidRPr="00597EEA">
        <w:rPr>
          <w:rFonts w:ascii="Verdana" w:hAnsi="Verdana" w:cs="Times New Roman"/>
          <w:sz w:val="20"/>
          <w:szCs w:val="20"/>
        </w:rPr>
        <w:t xml:space="preserve"> skarbowej</w:t>
      </w:r>
    </w:p>
    <w:p w14:paraId="381B3F7C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Środki karne w zwalczaniu przestępczości skarbowej</w:t>
      </w:r>
    </w:p>
    <w:p w14:paraId="085F5C14" w14:textId="77777777" w:rsidR="00CC341F" w:rsidRPr="00597EEA" w:rsidRDefault="00CC341F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Środki konsensualne w reakcji na przestępczość skarbową</w:t>
      </w:r>
    </w:p>
    <w:p w14:paraId="4D5C318C" w14:textId="77777777" w:rsidR="00CF07CC" w:rsidRPr="00597EEA" w:rsidRDefault="00CF07CC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Krajowa Administracja Skarbowa – struktura i zadania</w:t>
      </w:r>
    </w:p>
    <w:p w14:paraId="64E5B03C" w14:textId="786447C3" w:rsidR="00CF07CC" w:rsidRDefault="00CF07CC" w:rsidP="00CC341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 xml:space="preserve"> Służba Celno-Skarbowa w zwalczaniu przestępczości skarbowej</w:t>
      </w:r>
    </w:p>
    <w:p w14:paraId="3A220E75" w14:textId="77777777" w:rsidR="00597EEA" w:rsidRPr="00597EEA" w:rsidRDefault="00597EEA" w:rsidP="00597EEA">
      <w:pPr>
        <w:pStyle w:val="Akapitzlist"/>
        <w:spacing w:line="360" w:lineRule="auto"/>
        <w:ind w:left="714"/>
        <w:rPr>
          <w:rFonts w:ascii="Verdana" w:hAnsi="Verdana" w:cs="Times New Roman"/>
          <w:sz w:val="20"/>
          <w:szCs w:val="20"/>
        </w:rPr>
      </w:pPr>
    </w:p>
    <w:p w14:paraId="242BD6A9" w14:textId="77777777" w:rsidR="00354F08" w:rsidRPr="00597EEA" w:rsidRDefault="00354F08" w:rsidP="00354F08">
      <w:pPr>
        <w:spacing w:after="120" w:line="240" w:lineRule="auto"/>
        <w:ind w:left="357"/>
        <w:rPr>
          <w:rFonts w:ascii="Verdana" w:hAnsi="Verdana" w:cs="Times New Roman"/>
          <w:sz w:val="20"/>
          <w:szCs w:val="20"/>
          <w:u w:val="single"/>
        </w:rPr>
      </w:pPr>
      <w:r w:rsidRPr="00597EEA">
        <w:rPr>
          <w:rFonts w:ascii="Verdana" w:hAnsi="Verdana" w:cs="Times New Roman"/>
          <w:sz w:val="20"/>
          <w:szCs w:val="20"/>
          <w:u w:val="single"/>
        </w:rPr>
        <w:t>Uwagi do prezentacji:</w:t>
      </w:r>
    </w:p>
    <w:p w14:paraId="40D6DCC6" w14:textId="2B0DF09C" w:rsidR="00354F08" w:rsidRPr="00597EEA" w:rsidRDefault="00354F08" w:rsidP="00354F08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Wybór tematu z listy lub innego tematu dotyczącego przestępczości skarbowej</w:t>
      </w:r>
    </w:p>
    <w:p w14:paraId="0DE0676F" w14:textId="77777777" w:rsidR="00354F08" w:rsidRPr="00597EEA" w:rsidRDefault="00354F08" w:rsidP="00354F08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Aktualny stan prawny</w:t>
      </w:r>
    </w:p>
    <w:p w14:paraId="74ECB615" w14:textId="77777777" w:rsidR="00354F08" w:rsidRPr="00597EEA" w:rsidRDefault="00354F08" w:rsidP="00354F08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Duża czcionka na slajdach i poszerzony do slajdów komentarz ustny</w:t>
      </w:r>
    </w:p>
    <w:p w14:paraId="38123CA4" w14:textId="77777777" w:rsidR="00354F08" w:rsidRPr="00597EEA" w:rsidRDefault="00354F08" w:rsidP="00354F08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Dobrze widziane zdjęcia a nawet krótkie filmy</w:t>
      </w:r>
    </w:p>
    <w:p w14:paraId="2EAD208B" w14:textId="77777777" w:rsidR="00354F08" w:rsidRPr="00597EEA" w:rsidRDefault="00354F08" w:rsidP="00354F08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597EEA">
        <w:rPr>
          <w:rFonts w:ascii="Verdana" w:hAnsi="Verdana" w:cs="Times New Roman"/>
          <w:sz w:val="20"/>
          <w:szCs w:val="20"/>
        </w:rPr>
        <w:t>Czas prezentacji: 15 minut</w:t>
      </w:r>
    </w:p>
    <w:p w14:paraId="42C63A7B" w14:textId="77777777" w:rsidR="00354F08" w:rsidRPr="00597EEA" w:rsidRDefault="00354F08" w:rsidP="00354F08">
      <w:pPr>
        <w:spacing w:after="120" w:line="240" w:lineRule="auto"/>
        <w:rPr>
          <w:rFonts w:ascii="Verdana" w:hAnsi="Verdana" w:cs="Times New Roman"/>
          <w:sz w:val="20"/>
          <w:szCs w:val="20"/>
        </w:rPr>
      </w:pPr>
    </w:p>
    <w:p w14:paraId="2AA79287" w14:textId="77777777" w:rsidR="00354F08" w:rsidRPr="00597EEA" w:rsidRDefault="00354F08" w:rsidP="00354F08">
      <w:pPr>
        <w:spacing w:line="360" w:lineRule="auto"/>
        <w:rPr>
          <w:rFonts w:ascii="Verdana" w:hAnsi="Verdana" w:cs="Times New Roman"/>
          <w:sz w:val="20"/>
          <w:szCs w:val="20"/>
        </w:rPr>
      </w:pPr>
    </w:p>
    <w:sectPr w:rsidR="00354F08" w:rsidRPr="0059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D6B"/>
    <w:multiLevelType w:val="hybridMultilevel"/>
    <w:tmpl w:val="34E49562"/>
    <w:lvl w:ilvl="0" w:tplc="A1BC4AF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91D7655"/>
    <w:multiLevelType w:val="hybridMultilevel"/>
    <w:tmpl w:val="5FBC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1F"/>
    <w:rsid w:val="00354F08"/>
    <w:rsid w:val="00597EEA"/>
    <w:rsid w:val="00AE08A8"/>
    <w:rsid w:val="00CC341F"/>
    <w:rsid w:val="00CF07CC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459"/>
  <w15:chartTrackingRefBased/>
  <w15:docId w15:val="{E683D3A6-B0DE-4249-99B5-B28A86C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4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95F5BDA72BC4FB2C89BA05E64074D" ma:contentTypeVersion="15" ma:contentTypeDescription="Utwórz nowy dokument." ma:contentTypeScope="" ma:versionID="9a44e231c42b888a62def5442f6f5928">
  <xsd:schema xmlns:xsd="http://www.w3.org/2001/XMLSchema" xmlns:xs="http://www.w3.org/2001/XMLSchema" xmlns:p="http://schemas.microsoft.com/office/2006/metadata/properties" xmlns:ns3="42c58569-6293-4ee2-b86c-56b95b12ebb7" xmlns:ns4="8654a4ca-efa8-4c90-aeb5-19ae3a2a9104" targetNamespace="http://schemas.microsoft.com/office/2006/metadata/properties" ma:root="true" ma:fieldsID="e9402ed66d1206bb48bbc19b4ef80b10" ns3:_="" ns4:_="">
    <xsd:import namespace="42c58569-6293-4ee2-b86c-56b95b12ebb7"/>
    <xsd:import namespace="8654a4ca-efa8-4c90-aeb5-19ae3a2a91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8569-6293-4ee2-b86c-56b95b12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4a4ca-efa8-4c90-aeb5-19ae3a2a9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54a4ca-efa8-4c90-aeb5-19ae3a2a9104" xsi:nil="true"/>
  </documentManagement>
</p:properties>
</file>

<file path=customXml/itemProps1.xml><?xml version="1.0" encoding="utf-8"?>
<ds:datastoreItem xmlns:ds="http://schemas.openxmlformats.org/officeDocument/2006/customXml" ds:itemID="{916CB6B4-A252-4DEC-BC91-6F5007E90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58569-6293-4ee2-b86c-56b95b12ebb7"/>
    <ds:schemaRef ds:uri="8654a4ca-efa8-4c90-aeb5-19ae3a2a9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77384-50F4-4EE2-BAEF-838715F04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C4477-0DA2-4AA3-9BAE-A489D08AF67C}">
  <ds:schemaRefs>
    <ds:schemaRef ds:uri="8654a4ca-efa8-4c90-aeb5-19ae3a2a9104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42c58569-6293-4ee2-b86c-56b95b12ebb7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Sawicki</dc:creator>
  <cp:keywords/>
  <dc:description/>
  <cp:lastModifiedBy>Janusz Sawicki</cp:lastModifiedBy>
  <cp:revision>3</cp:revision>
  <dcterms:created xsi:type="dcterms:W3CDTF">2024-03-11T11:00:00Z</dcterms:created>
  <dcterms:modified xsi:type="dcterms:W3CDTF">2024-03-11T11:24:00Z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0x0101001F195F5BDA72BC4FB2C89BA05E64074D</vt:lpwstr>
  </property>
</Properties>
</file>