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E1B" w:rsidRDefault="00443E1B" w:rsidP="00443E1B">
      <w:pPr>
        <w:ind w:left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Podstawy Prawa Karnego</w:t>
      </w:r>
    </w:p>
    <w:p w:rsidR="00443E1B" w:rsidRDefault="00443E1B" w:rsidP="00443E1B">
      <w:pPr>
        <w:ind w:left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ćwiczenia</w:t>
      </w:r>
    </w:p>
    <w:p w:rsidR="00443E1B" w:rsidRDefault="00443E1B" w:rsidP="00443E1B">
      <w:pPr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Semestr zimowy, rok akademicki 2016/2017</w:t>
      </w:r>
    </w:p>
    <w:p w:rsidR="00443E1B" w:rsidRDefault="00443E1B" w:rsidP="00443E1B">
      <w:pPr>
        <w:shd w:val="clear" w:color="auto" w:fill="FFFFFF"/>
        <w:ind w:left="0"/>
        <w:jc w:val="both"/>
        <w:rPr>
          <w:rFonts w:ascii="Times New Roman" w:eastAsia="Times New Roman" w:hAnsi="Times New Roman"/>
          <w:color w:val="222222"/>
          <w:sz w:val="18"/>
          <w:szCs w:val="18"/>
          <w:lang w:eastAsia="pl-PL"/>
        </w:rPr>
      </w:pPr>
      <w:r>
        <w:rPr>
          <w:rFonts w:ascii="Times New Roman" w:hAnsi="Times New Roman"/>
          <w:b/>
          <w:sz w:val="18"/>
          <w:szCs w:val="18"/>
        </w:rPr>
        <w:t xml:space="preserve">mgr Paulina Gadzińska, </w:t>
      </w:r>
      <w:r>
        <w:rPr>
          <w:rFonts w:ascii="Times New Roman" w:hAnsi="Times New Roman"/>
          <w:sz w:val="18"/>
          <w:szCs w:val="18"/>
        </w:rPr>
        <w:t>Katedra Prawa Karnego Materialnego Wydziału Prawa, Administracji i Ekonomii Uniwersytetu Wrocławskiego, pok. 202 bud. A, mail : paulina.gadzinska@uwr.edu.pl</w:t>
      </w:r>
      <w:r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; </w:t>
      </w:r>
    </w:p>
    <w:p w:rsidR="00443E1B" w:rsidRPr="005A5163" w:rsidRDefault="00443E1B" w:rsidP="00443E1B">
      <w:pPr>
        <w:ind w:left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HARMONOGRAM :      </w:t>
      </w:r>
    </w:p>
    <w:p w:rsidR="00443E1B" w:rsidRDefault="005A5163" w:rsidP="00443E1B">
      <w:pPr>
        <w:spacing w:after="20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</w:t>
      </w:r>
      <w:r w:rsidR="00443E1B">
        <w:rPr>
          <w:rFonts w:ascii="Times New Roman" w:hAnsi="Times New Roman"/>
          <w:b/>
          <w:sz w:val="18"/>
          <w:szCs w:val="18"/>
        </w:rPr>
        <w:t xml:space="preserve">.   Kara </w:t>
      </w:r>
      <w:r w:rsidR="00443E1B">
        <w:rPr>
          <w:rFonts w:ascii="Times New Roman" w:hAnsi="Times New Roman"/>
          <w:sz w:val="18"/>
          <w:szCs w:val="18"/>
        </w:rPr>
        <w:t>:</w:t>
      </w:r>
      <w:r w:rsidR="00443E1B">
        <w:rPr>
          <w:rFonts w:ascii="Times New Roman" w:hAnsi="Times New Roman"/>
          <w:b/>
          <w:sz w:val="18"/>
          <w:szCs w:val="18"/>
        </w:rPr>
        <w:t xml:space="preserve"> </w:t>
      </w:r>
      <w:r w:rsidR="00443E1B">
        <w:rPr>
          <w:rFonts w:ascii="Times New Roman" w:hAnsi="Times New Roman"/>
          <w:sz w:val="18"/>
          <w:szCs w:val="18"/>
        </w:rPr>
        <w:t>wprowadzenie do nauki o karze</w:t>
      </w:r>
      <w:r w:rsidR="00443E1B">
        <w:rPr>
          <w:rFonts w:ascii="Times New Roman" w:hAnsi="Times New Roman"/>
          <w:b/>
          <w:sz w:val="18"/>
          <w:szCs w:val="18"/>
        </w:rPr>
        <w:t>; p</w:t>
      </w:r>
      <w:r w:rsidR="00443E1B">
        <w:rPr>
          <w:rFonts w:ascii="Times New Roman" w:hAnsi="Times New Roman"/>
          <w:sz w:val="18"/>
          <w:szCs w:val="18"/>
        </w:rPr>
        <w:t>ojęcie kary, teorie i racjonalizacje kary; katalog kar - szczegółowe omówienie</w:t>
      </w:r>
    </w:p>
    <w:p w:rsidR="00443E1B" w:rsidRDefault="005A5163" w:rsidP="00443E1B">
      <w:pPr>
        <w:spacing w:after="20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</w:t>
      </w:r>
      <w:r w:rsidR="00443E1B">
        <w:rPr>
          <w:rFonts w:ascii="Times New Roman" w:hAnsi="Times New Roman"/>
          <w:b/>
          <w:sz w:val="18"/>
          <w:szCs w:val="18"/>
        </w:rPr>
        <w:t xml:space="preserve">.   Wymiar kary </w:t>
      </w:r>
      <w:r w:rsidR="00443E1B">
        <w:rPr>
          <w:rFonts w:ascii="Times New Roman" w:hAnsi="Times New Roman"/>
          <w:sz w:val="18"/>
          <w:szCs w:val="18"/>
        </w:rPr>
        <w:t>: zasady oraz ogólne i szczególne dyrektywy wymiaru kary; nadzwyczajne obostrzenie i złagodzenie kary</w:t>
      </w:r>
    </w:p>
    <w:p w:rsidR="00443E1B" w:rsidRDefault="005A5163" w:rsidP="00443E1B">
      <w:pPr>
        <w:spacing w:after="200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3</w:t>
      </w:r>
      <w:r w:rsidR="00443E1B">
        <w:rPr>
          <w:rFonts w:ascii="Times New Roman" w:hAnsi="Times New Roman"/>
          <w:b/>
          <w:sz w:val="18"/>
          <w:szCs w:val="18"/>
        </w:rPr>
        <w:t>.   Środki karne</w:t>
      </w:r>
      <w:r w:rsidR="00443E1B">
        <w:rPr>
          <w:rFonts w:ascii="Times New Roman" w:hAnsi="Times New Roman"/>
          <w:sz w:val="18"/>
          <w:szCs w:val="18"/>
        </w:rPr>
        <w:t xml:space="preserve"> : pojęcie środków karnych; omówienie poszczególnych środków karnych </w:t>
      </w:r>
    </w:p>
    <w:p w:rsidR="00443E1B" w:rsidRDefault="005A5163" w:rsidP="00443E1B">
      <w:pPr>
        <w:spacing w:after="200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</w:t>
      </w:r>
      <w:r w:rsidR="00443E1B">
        <w:rPr>
          <w:rFonts w:ascii="Times New Roman" w:hAnsi="Times New Roman"/>
          <w:b/>
          <w:sz w:val="18"/>
          <w:szCs w:val="18"/>
        </w:rPr>
        <w:t>. Środki związane z poddaniem sprawcy próbie</w:t>
      </w:r>
      <w:r w:rsidR="00443E1B">
        <w:rPr>
          <w:rFonts w:ascii="Times New Roman" w:hAnsi="Times New Roman"/>
          <w:sz w:val="18"/>
          <w:szCs w:val="18"/>
        </w:rPr>
        <w:t xml:space="preserve"> ( warunkowe umorzenie postępowania, warunkowe zawieszenie wykonania kary, warunkowe przedterminowe zwolnienie )      </w:t>
      </w:r>
    </w:p>
    <w:p w:rsidR="00443E1B" w:rsidRDefault="005A5163" w:rsidP="00443E1B">
      <w:pPr>
        <w:ind w:left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</w:t>
      </w:r>
      <w:r w:rsidR="00443E1B">
        <w:rPr>
          <w:rFonts w:ascii="Times New Roman" w:hAnsi="Times New Roman"/>
          <w:b/>
          <w:sz w:val="18"/>
          <w:szCs w:val="18"/>
        </w:rPr>
        <w:t xml:space="preserve">.   Środki zabezpieczające </w:t>
      </w:r>
    </w:p>
    <w:p w:rsidR="00443E1B" w:rsidRPr="00443E1B" w:rsidRDefault="005A5163" w:rsidP="00443E1B">
      <w:pPr>
        <w:spacing w:after="200" w:line="276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6</w:t>
      </w:r>
      <w:bookmarkStart w:id="0" w:name="_GoBack"/>
      <w:bookmarkEnd w:id="0"/>
      <w:r w:rsidR="00443E1B">
        <w:rPr>
          <w:rFonts w:ascii="Times New Roman" w:hAnsi="Times New Roman"/>
          <w:b/>
          <w:sz w:val="18"/>
          <w:szCs w:val="18"/>
        </w:rPr>
        <w:t>.   Ustanie karalności; zatarcie skazania</w:t>
      </w:r>
    </w:p>
    <w:p w:rsidR="00443E1B" w:rsidRDefault="00443E1B" w:rsidP="00443E1B">
      <w:pPr>
        <w:ind w:left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LITERATURA: </w:t>
      </w:r>
    </w:p>
    <w:p w:rsidR="00443E1B" w:rsidRDefault="00443E1B" w:rsidP="00443E1B">
      <w:pPr>
        <w:ind w:left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Podręczniki</w:t>
      </w:r>
    </w:p>
    <w:p w:rsidR="00443E1B" w:rsidRDefault="00443E1B" w:rsidP="00443E1B">
      <w:pPr>
        <w:numPr>
          <w:ilvl w:val="0"/>
          <w:numId w:val="1"/>
        </w:numPr>
        <w:ind w:left="709" w:hanging="425"/>
        <w:jc w:val="both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 xml:space="preserve">M. Bojarski (red.), J. Giezek, Z. Sienkiewicz, Prawo </w:t>
      </w:r>
      <w:r>
        <w:rPr>
          <w:rFonts w:ascii="Times New Roman" w:hAnsi="Times New Roman"/>
          <w:i/>
          <w:sz w:val="18"/>
          <w:szCs w:val="18"/>
          <w:u w:val="single"/>
        </w:rPr>
        <w:t>karne materialne. Część ogólna i szczególna</w:t>
      </w:r>
      <w:r>
        <w:rPr>
          <w:rFonts w:ascii="Times New Roman" w:hAnsi="Times New Roman"/>
          <w:sz w:val="18"/>
          <w:szCs w:val="18"/>
          <w:u w:val="single"/>
        </w:rPr>
        <w:t xml:space="preserve"> , Warszawa </w:t>
      </w:r>
    </w:p>
    <w:p w:rsidR="00443E1B" w:rsidRDefault="00443E1B" w:rsidP="00443E1B">
      <w:pPr>
        <w:numPr>
          <w:ilvl w:val="0"/>
          <w:numId w:val="1"/>
        </w:numPr>
        <w:ind w:left="709" w:hanging="425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W. Wróbel, A. Zoll, </w:t>
      </w:r>
      <w:r>
        <w:rPr>
          <w:rFonts w:ascii="Times New Roman" w:hAnsi="Times New Roman"/>
          <w:i/>
          <w:sz w:val="18"/>
          <w:szCs w:val="18"/>
        </w:rPr>
        <w:t>Polskie Prawo Karne. Część ogólna</w:t>
      </w:r>
      <w:r>
        <w:rPr>
          <w:rFonts w:ascii="Times New Roman" w:hAnsi="Times New Roman"/>
          <w:sz w:val="18"/>
          <w:szCs w:val="18"/>
        </w:rPr>
        <w:t xml:space="preserve">, Kraków </w:t>
      </w:r>
    </w:p>
    <w:p w:rsidR="00443E1B" w:rsidRDefault="00443E1B" w:rsidP="00443E1B">
      <w:pPr>
        <w:numPr>
          <w:ilvl w:val="0"/>
          <w:numId w:val="1"/>
        </w:numPr>
        <w:ind w:left="709" w:hanging="425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A. Marek, </w:t>
      </w:r>
      <w:r>
        <w:rPr>
          <w:rFonts w:ascii="Times New Roman" w:hAnsi="Times New Roman"/>
          <w:i/>
          <w:sz w:val="18"/>
          <w:szCs w:val="18"/>
        </w:rPr>
        <w:t>Prawo karne</w:t>
      </w:r>
      <w:r>
        <w:rPr>
          <w:rFonts w:ascii="Times New Roman" w:hAnsi="Times New Roman"/>
          <w:sz w:val="18"/>
          <w:szCs w:val="18"/>
        </w:rPr>
        <w:t xml:space="preserve">, Warszawa </w:t>
      </w:r>
    </w:p>
    <w:p w:rsidR="00443E1B" w:rsidRDefault="00443E1B" w:rsidP="00443E1B">
      <w:pPr>
        <w:numPr>
          <w:ilvl w:val="0"/>
          <w:numId w:val="1"/>
        </w:numPr>
        <w:spacing w:after="200"/>
        <w:ind w:left="709" w:hanging="425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L. Gardocki, </w:t>
      </w:r>
      <w:r>
        <w:rPr>
          <w:rFonts w:ascii="Times New Roman" w:hAnsi="Times New Roman"/>
          <w:i/>
          <w:sz w:val="18"/>
          <w:szCs w:val="18"/>
        </w:rPr>
        <w:t>Prawo karne</w:t>
      </w:r>
      <w:r>
        <w:rPr>
          <w:rFonts w:ascii="Times New Roman" w:hAnsi="Times New Roman"/>
          <w:sz w:val="18"/>
          <w:szCs w:val="18"/>
        </w:rPr>
        <w:t>, Warszawa        WYDANIA AKTUALNE!</w:t>
      </w:r>
      <w:r>
        <w:rPr>
          <w:rFonts w:ascii="Times New Roman" w:hAnsi="Times New Roman"/>
          <w:b/>
          <w:sz w:val="18"/>
          <w:szCs w:val="18"/>
        </w:rPr>
        <w:t xml:space="preserve"> </w:t>
      </w:r>
    </w:p>
    <w:p w:rsidR="00443E1B" w:rsidRDefault="00443E1B" w:rsidP="00443E1B">
      <w:pPr>
        <w:spacing w:after="200"/>
        <w:ind w:left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Komentarze</w:t>
      </w:r>
      <w:r>
        <w:rPr>
          <w:rFonts w:ascii="Times New Roman" w:hAnsi="Times New Roman"/>
          <w:sz w:val="18"/>
          <w:szCs w:val="18"/>
        </w:rPr>
        <w:t xml:space="preserve"> dla poszerzenia wiedzy w wybranym zakresie (część ogólna):</w:t>
      </w:r>
    </w:p>
    <w:p w:rsidR="00443E1B" w:rsidRDefault="00443E1B" w:rsidP="00443E1B">
      <w:pPr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A. Zoll (red.), </w:t>
      </w:r>
      <w:r>
        <w:rPr>
          <w:rFonts w:ascii="Times New Roman" w:hAnsi="Times New Roman"/>
          <w:i/>
          <w:sz w:val="18"/>
          <w:szCs w:val="18"/>
        </w:rPr>
        <w:t>Kodeks karny. Część ogólna, Tom I, Komentarz do art. 1 – 116</w:t>
      </w:r>
      <w:r>
        <w:rPr>
          <w:rFonts w:ascii="Times New Roman" w:hAnsi="Times New Roman"/>
          <w:sz w:val="18"/>
          <w:szCs w:val="18"/>
        </w:rPr>
        <w:t>, Warszawa</w:t>
      </w:r>
    </w:p>
    <w:p w:rsidR="00443E1B" w:rsidRDefault="00443E1B" w:rsidP="00443E1B">
      <w:pPr>
        <w:numPr>
          <w:ilvl w:val="0"/>
          <w:numId w:val="2"/>
        </w:numPr>
        <w:spacing w:after="200"/>
        <w:ind w:left="709" w:hanging="42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J. Giezek (red.), </w:t>
      </w:r>
      <w:r>
        <w:rPr>
          <w:rFonts w:ascii="Times New Roman" w:hAnsi="Times New Roman"/>
          <w:i/>
          <w:sz w:val="18"/>
          <w:szCs w:val="18"/>
        </w:rPr>
        <w:t>Kodeks karny. Część ogólna</w:t>
      </w:r>
      <w:r>
        <w:rPr>
          <w:rFonts w:ascii="Times New Roman" w:hAnsi="Times New Roman"/>
          <w:sz w:val="18"/>
          <w:szCs w:val="18"/>
        </w:rPr>
        <w:t>, Warszawa     WYDANIA AKTUALNE!</w:t>
      </w:r>
    </w:p>
    <w:p w:rsidR="00443E1B" w:rsidRDefault="00443E1B" w:rsidP="00443E1B">
      <w:pPr>
        <w:ind w:left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Na kolokwium obowiązuje aktualny stan prawny, dlatego w razie korzystania ze starszych podręczników proszę śledzić przepisy i aktualizować stan prawny. Na zajęciach proszę mieć ze sobą kodeks karny. Na ocenę końcową składa się kolokwium oraz ew. dodatkowe składowe ustalone przez grupę z prowadzącym ( np. aktywność na zajęciach itp.). Dopuszczalna jest jedna nieobecność, każda następna winna być zaliczona na konsultacjach.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Harmonogram ma charakter informacyjny. Jego funkcją jest pozwolenie Państwu na przygotowanie się do nadchodzących zajęć. Dopuszczalne są odstępstwa od harmonogramu np. zmiana tematu/zakresu zajęć itp.</w:t>
      </w:r>
    </w:p>
    <w:p w:rsidR="00443E1B" w:rsidRDefault="00443E1B" w:rsidP="00443E1B">
      <w:pPr>
        <w:spacing w:after="20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DB1F72" w:rsidRDefault="00DB1F72"/>
    <w:sectPr w:rsidR="00DB1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A46A6"/>
    <w:multiLevelType w:val="hybridMultilevel"/>
    <w:tmpl w:val="A3382A4A"/>
    <w:lvl w:ilvl="0" w:tplc="51327EC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C2B6A"/>
    <w:multiLevelType w:val="hybridMultilevel"/>
    <w:tmpl w:val="D4E25850"/>
    <w:lvl w:ilvl="0" w:tplc="47FE4EDC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1B"/>
    <w:rsid w:val="00443E1B"/>
    <w:rsid w:val="005A5163"/>
    <w:rsid w:val="00DB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3C23B-A34B-4365-9A11-6CE02833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E1B"/>
    <w:pPr>
      <w:spacing w:after="0" w:line="360" w:lineRule="auto"/>
      <w:ind w:left="482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Gadzińska</dc:creator>
  <cp:keywords/>
  <dc:description/>
  <cp:lastModifiedBy>Paulina Gadzińska</cp:lastModifiedBy>
  <cp:revision>3</cp:revision>
  <dcterms:created xsi:type="dcterms:W3CDTF">2016-10-06T08:01:00Z</dcterms:created>
  <dcterms:modified xsi:type="dcterms:W3CDTF">2016-10-11T11:12:00Z</dcterms:modified>
</cp:coreProperties>
</file>