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2B" w:rsidRDefault="000C482B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Praca dyplomowa powinna zawierać: </w:t>
      </w:r>
    </w:p>
    <w:p w:rsidR="000C482B" w:rsidRDefault="000C482B" w:rsidP="000C482B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:rsidR="000C482B" w:rsidRPr="000C482B" w:rsidRDefault="000C482B" w:rsidP="000C482B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0C482B">
        <w:rPr>
          <w:rFonts w:asciiTheme="majorHAnsi" w:hAnsiTheme="majorHAnsi"/>
          <w:sz w:val="24"/>
          <w:szCs w:val="24"/>
        </w:rPr>
        <w:t xml:space="preserve">- spis treści </w:t>
      </w:r>
    </w:p>
    <w:p w:rsidR="000C482B" w:rsidRDefault="000C482B" w:rsidP="000C482B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0C482B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wykaz skrótów (przygotowywać na bieżąco) – obejmuje m. in. skróty aktów prawnych, nazw własnych, słów np. m. in. </w:t>
      </w:r>
    </w:p>
    <w:p w:rsidR="000C482B" w:rsidRDefault="000C482B" w:rsidP="000C482B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:rsidR="000C482B" w:rsidRDefault="000C482B" w:rsidP="000C482B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bibliografia (na końcu), powinna obejmować: </w:t>
      </w:r>
    </w:p>
    <w:p w:rsidR="000C482B" w:rsidRDefault="000C482B" w:rsidP="000C482B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wykaz literatury</w:t>
      </w:r>
    </w:p>
    <w:p w:rsidR="000C482B" w:rsidRDefault="000C482B" w:rsidP="000C482B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wykaz orzecznictwa </w:t>
      </w:r>
    </w:p>
    <w:p w:rsidR="000C482B" w:rsidRDefault="000C482B" w:rsidP="000C482B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wykaz aktów prawnych </w:t>
      </w:r>
    </w:p>
    <w:p w:rsidR="000C482B" w:rsidRPr="000C482B" w:rsidRDefault="000C482B" w:rsidP="000C482B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wykaz innych źródeł </w:t>
      </w:r>
    </w:p>
    <w:p w:rsidR="000C482B" w:rsidRDefault="000C482B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62056" w:rsidRPr="000C482B" w:rsidRDefault="00A62056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C482B">
        <w:rPr>
          <w:rFonts w:asciiTheme="majorHAnsi" w:hAnsiTheme="majorHAnsi"/>
          <w:b/>
          <w:sz w:val="28"/>
          <w:szCs w:val="28"/>
        </w:rPr>
        <w:t xml:space="preserve">PRZYPISY: </w:t>
      </w:r>
    </w:p>
    <w:p w:rsidR="00A62056" w:rsidRDefault="00A62056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62056" w:rsidRDefault="00A62056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ATKY NORMATYWNE: 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62056">
        <w:rPr>
          <w:rFonts w:asciiTheme="majorHAnsi" w:hAnsiTheme="majorHAnsi"/>
          <w:sz w:val="24"/>
          <w:szCs w:val="24"/>
        </w:rPr>
        <w:t xml:space="preserve">Art. 18-27 </w:t>
      </w:r>
      <w:proofErr w:type="spellStart"/>
      <w:r w:rsidRPr="00A62056">
        <w:rPr>
          <w:rFonts w:asciiTheme="majorHAnsi" w:hAnsiTheme="majorHAnsi"/>
          <w:sz w:val="24"/>
          <w:szCs w:val="24"/>
        </w:rPr>
        <w:t>p.b</w:t>
      </w:r>
      <w:proofErr w:type="spellEnd"/>
      <w:r w:rsidRPr="00A62056">
        <w:rPr>
          <w:rFonts w:asciiTheme="majorHAnsi" w:hAnsiTheme="majorHAnsi"/>
          <w:sz w:val="24"/>
          <w:szCs w:val="24"/>
        </w:rPr>
        <w:t>.</w:t>
      </w:r>
    </w:p>
    <w:p w:rsid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62056">
        <w:rPr>
          <w:rFonts w:asciiTheme="majorHAnsi" w:hAnsiTheme="majorHAnsi"/>
          <w:sz w:val="24"/>
          <w:szCs w:val="24"/>
        </w:rPr>
        <w:t xml:space="preserve">Zgodnie z art. 37 ust. 1 </w:t>
      </w:r>
      <w:proofErr w:type="spellStart"/>
      <w:r w:rsidRPr="00A62056">
        <w:rPr>
          <w:rFonts w:asciiTheme="majorHAnsi" w:hAnsiTheme="majorHAnsi"/>
          <w:sz w:val="24"/>
          <w:szCs w:val="24"/>
        </w:rPr>
        <w:t>p.b</w:t>
      </w:r>
      <w:proofErr w:type="spellEnd"/>
      <w:r w:rsidRPr="00A62056">
        <w:rPr>
          <w:rFonts w:asciiTheme="majorHAnsi" w:hAnsiTheme="majorHAnsi"/>
          <w:sz w:val="24"/>
          <w:szCs w:val="24"/>
        </w:rPr>
        <w:t>., decyzja o pozwoleniu na budowę wygasa, jeżeli budowa nie została</w:t>
      </w:r>
      <w:r w:rsidRPr="00A62056">
        <w:rPr>
          <w:rFonts w:asciiTheme="majorHAnsi" w:hAnsiTheme="majorHAnsi"/>
          <w:sz w:val="24"/>
          <w:szCs w:val="24"/>
        </w:rPr>
        <w:t xml:space="preserve"> </w:t>
      </w:r>
      <w:r w:rsidRPr="00A62056">
        <w:rPr>
          <w:rFonts w:asciiTheme="majorHAnsi" w:hAnsiTheme="majorHAnsi"/>
          <w:sz w:val="24"/>
          <w:szCs w:val="24"/>
        </w:rPr>
        <w:t>rozpoczęta przed upływem 3 lat od dnia, w którym decyzja ta stała się ostateczna lub budowa została</w:t>
      </w:r>
      <w:r w:rsidRPr="00A62056">
        <w:rPr>
          <w:rFonts w:asciiTheme="majorHAnsi" w:hAnsiTheme="majorHAnsi"/>
          <w:sz w:val="24"/>
          <w:szCs w:val="24"/>
        </w:rPr>
        <w:t xml:space="preserve"> </w:t>
      </w:r>
      <w:r w:rsidRPr="00A62056">
        <w:rPr>
          <w:rFonts w:asciiTheme="majorHAnsi" w:hAnsiTheme="majorHAnsi"/>
          <w:sz w:val="24"/>
          <w:szCs w:val="24"/>
        </w:rPr>
        <w:t>przerwana na czas dłuższy niż 3 lata.</w:t>
      </w:r>
    </w:p>
    <w:p w:rsid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:rsidR="00A62056" w:rsidRPr="000C482B" w:rsidRDefault="00A62056" w:rsidP="000C482B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C482B">
        <w:rPr>
          <w:rFonts w:asciiTheme="majorHAnsi" w:hAnsiTheme="majorHAnsi"/>
          <w:b/>
          <w:sz w:val="24"/>
          <w:szCs w:val="24"/>
        </w:rPr>
        <w:t>LITERATRURA</w:t>
      </w:r>
    </w:p>
    <w:p w:rsid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62056">
        <w:rPr>
          <w:rFonts w:asciiTheme="majorHAnsi" w:hAnsiTheme="majorHAnsi"/>
          <w:sz w:val="24"/>
          <w:szCs w:val="24"/>
        </w:rPr>
        <w:t xml:space="preserve">A. Ostrowska, </w:t>
      </w:r>
      <w:r w:rsidRPr="000C482B">
        <w:rPr>
          <w:rFonts w:asciiTheme="majorHAnsi" w:hAnsiTheme="majorHAnsi"/>
          <w:i/>
          <w:sz w:val="24"/>
          <w:szCs w:val="24"/>
        </w:rPr>
        <w:t>Pozwolenie</w:t>
      </w:r>
      <w:r w:rsidRPr="000C482B">
        <w:rPr>
          <w:rFonts w:asciiTheme="majorHAnsi" w:hAnsiTheme="majorHAnsi"/>
          <w:i/>
          <w:sz w:val="24"/>
          <w:szCs w:val="24"/>
        </w:rPr>
        <w:t xml:space="preserve"> </w:t>
      </w:r>
      <w:r w:rsidRPr="000C482B">
        <w:rPr>
          <w:rFonts w:asciiTheme="majorHAnsi" w:hAnsiTheme="majorHAnsi"/>
          <w:i/>
          <w:sz w:val="24"/>
          <w:szCs w:val="24"/>
        </w:rPr>
        <w:t>na budowę</w:t>
      </w:r>
      <w:r w:rsidRPr="00A62056">
        <w:rPr>
          <w:rFonts w:asciiTheme="majorHAnsi" w:hAnsiTheme="majorHAnsi"/>
          <w:sz w:val="24"/>
          <w:szCs w:val="24"/>
        </w:rPr>
        <w:t>, Warszawa 200</w:t>
      </w:r>
      <w:r>
        <w:rPr>
          <w:rFonts w:asciiTheme="majorHAnsi" w:hAnsiTheme="majorHAnsi"/>
          <w:sz w:val="24"/>
          <w:szCs w:val="24"/>
        </w:rPr>
        <w:t>8, s. 100</w:t>
      </w:r>
    </w:p>
    <w:p w:rsid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62056">
        <w:rPr>
          <w:rFonts w:asciiTheme="majorHAnsi" w:hAnsiTheme="majorHAnsi"/>
          <w:i/>
          <w:sz w:val="24"/>
          <w:szCs w:val="24"/>
        </w:rPr>
        <w:t>Tamże</w:t>
      </w:r>
      <w:r>
        <w:rPr>
          <w:rFonts w:asciiTheme="majorHAnsi" w:hAnsiTheme="majorHAnsi"/>
          <w:sz w:val="24"/>
          <w:szCs w:val="24"/>
        </w:rPr>
        <w:t>, 101</w:t>
      </w:r>
    </w:p>
    <w:p w:rsid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A62056">
        <w:rPr>
          <w:rFonts w:asciiTheme="majorHAnsi" w:hAnsiTheme="majorHAnsi"/>
          <w:sz w:val="24"/>
          <w:szCs w:val="24"/>
        </w:rPr>
        <w:t xml:space="preserve"> T. </w:t>
      </w:r>
      <w:proofErr w:type="spellStart"/>
      <w:r w:rsidRPr="00A62056">
        <w:rPr>
          <w:rFonts w:asciiTheme="majorHAnsi" w:hAnsiTheme="majorHAnsi"/>
          <w:sz w:val="24"/>
          <w:szCs w:val="24"/>
        </w:rPr>
        <w:t>Asman</w:t>
      </w:r>
      <w:proofErr w:type="spellEnd"/>
      <w:r w:rsidRPr="00A6205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2056">
        <w:rPr>
          <w:rFonts w:asciiTheme="majorHAnsi" w:hAnsiTheme="majorHAnsi"/>
          <w:sz w:val="24"/>
          <w:szCs w:val="24"/>
        </w:rPr>
        <w:t xml:space="preserve">Z. Niewiadomski, </w:t>
      </w:r>
      <w:r w:rsidRPr="00A62056">
        <w:rPr>
          <w:rFonts w:asciiTheme="majorHAnsi" w:hAnsiTheme="majorHAnsi"/>
          <w:i/>
          <w:sz w:val="24"/>
          <w:szCs w:val="24"/>
        </w:rPr>
        <w:t>Komentarz do art. 10</w:t>
      </w:r>
      <w:r>
        <w:rPr>
          <w:rFonts w:asciiTheme="majorHAnsi" w:hAnsiTheme="majorHAnsi"/>
          <w:sz w:val="24"/>
          <w:szCs w:val="24"/>
        </w:rPr>
        <w:t xml:space="preserve">, </w:t>
      </w:r>
      <w:r w:rsidRPr="00A62056">
        <w:rPr>
          <w:rFonts w:asciiTheme="majorHAnsi" w:hAnsiTheme="majorHAnsi"/>
          <w:sz w:val="24"/>
          <w:szCs w:val="24"/>
        </w:rPr>
        <w:t xml:space="preserve">[w:] Z. Niewiadomski (red.), </w:t>
      </w:r>
      <w:r w:rsidRPr="00A62056">
        <w:rPr>
          <w:rFonts w:asciiTheme="majorHAnsi" w:hAnsiTheme="majorHAnsi"/>
          <w:i/>
          <w:sz w:val="24"/>
          <w:szCs w:val="24"/>
        </w:rPr>
        <w:t>Prawo budowlane. Komentarz</w:t>
      </w:r>
      <w:r w:rsidRPr="00A62056">
        <w:rPr>
          <w:rFonts w:asciiTheme="majorHAnsi" w:hAnsiTheme="majorHAnsi"/>
          <w:sz w:val="24"/>
          <w:szCs w:val="24"/>
        </w:rPr>
        <w:t>, Warszawa 2007</w:t>
      </w:r>
      <w:r>
        <w:rPr>
          <w:rFonts w:asciiTheme="majorHAnsi" w:hAnsiTheme="majorHAnsi"/>
          <w:sz w:val="24"/>
          <w:szCs w:val="24"/>
        </w:rPr>
        <w:t>, 100</w:t>
      </w:r>
    </w:p>
    <w:p w:rsidR="00A62056" w:rsidRDefault="000C482B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0C482B">
        <w:rPr>
          <w:rFonts w:asciiTheme="majorHAnsi" w:hAnsiTheme="majorHAnsi"/>
          <w:sz w:val="24"/>
          <w:szCs w:val="24"/>
        </w:rPr>
        <w:t xml:space="preserve">A. Ostrowska, </w:t>
      </w:r>
      <w:r w:rsidRPr="000C482B">
        <w:rPr>
          <w:rFonts w:asciiTheme="majorHAnsi" w:hAnsiTheme="majorHAnsi"/>
          <w:i/>
          <w:sz w:val="24"/>
          <w:szCs w:val="24"/>
        </w:rPr>
        <w:t>Pozwolenie…</w:t>
      </w:r>
      <w:r w:rsidRPr="000C482B">
        <w:rPr>
          <w:rFonts w:asciiTheme="majorHAnsi" w:hAnsiTheme="majorHAnsi"/>
          <w:sz w:val="24"/>
          <w:szCs w:val="24"/>
        </w:rPr>
        <w:t>, s. 14.</w:t>
      </w:r>
    </w:p>
    <w:p w:rsidR="000C482B" w:rsidRDefault="000C482B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0C482B">
        <w:rPr>
          <w:rFonts w:asciiTheme="majorHAnsi" w:hAnsiTheme="majorHAnsi"/>
          <w:sz w:val="24"/>
          <w:szCs w:val="24"/>
        </w:rPr>
        <w:t xml:space="preserve">T. </w:t>
      </w:r>
      <w:proofErr w:type="spellStart"/>
      <w:r w:rsidRPr="000C482B">
        <w:rPr>
          <w:rFonts w:asciiTheme="majorHAnsi" w:hAnsiTheme="majorHAnsi"/>
          <w:sz w:val="24"/>
          <w:szCs w:val="24"/>
        </w:rPr>
        <w:t>Asman</w:t>
      </w:r>
      <w:proofErr w:type="spellEnd"/>
      <w:r w:rsidRPr="000C482B">
        <w:rPr>
          <w:rFonts w:asciiTheme="majorHAnsi" w:hAnsiTheme="majorHAnsi"/>
          <w:sz w:val="24"/>
          <w:szCs w:val="24"/>
        </w:rPr>
        <w:t xml:space="preserve">, Z. Niewiadomski, </w:t>
      </w:r>
      <w:r w:rsidRPr="000C482B">
        <w:rPr>
          <w:rFonts w:asciiTheme="majorHAnsi" w:hAnsiTheme="majorHAnsi"/>
          <w:i/>
          <w:sz w:val="24"/>
          <w:szCs w:val="24"/>
        </w:rPr>
        <w:t>Komentarz do art. 10</w:t>
      </w:r>
      <w:r>
        <w:rPr>
          <w:rFonts w:asciiTheme="majorHAnsi" w:hAnsiTheme="majorHAnsi"/>
          <w:sz w:val="24"/>
          <w:szCs w:val="24"/>
        </w:rPr>
        <w:t>…</w:t>
      </w:r>
      <w:r w:rsidRPr="000C482B">
        <w:rPr>
          <w:rFonts w:asciiTheme="majorHAnsi" w:hAnsiTheme="majorHAnsi"/>
          <w:sz w:val="24"/>
          <w:szCs w:val="24"/>
        </w:rPr>
        <w:t>, 100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:rsidR="00A62056" w:rsidRDefault="00A62056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62056" w:rsidRPr="000C482B" w:rsidRDefault="00A62056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0C482B">
        <w:rPr>
          <w:rFonts w:asciiTheme="majorHAnsi" w:hAnsiTheme="majorHAnsi"/>
          <w:b/>
          <w:sz w:val="28"/>
          <w:szCs w:val="28"/>
        </w:rPr>
        <w:t>BIBLIOGRAFIA:</w:t>
      </w:r>
    </w:p>
    <w:p w:rsidR="00A62056" w:rsidRDefault="00A62056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62056" w:rsidRPr="00A62056" w:rsidRDefault="00A62056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62056">
        <w:rPr>
          <w:rFonts w:asciiTheme="majorHAnsi" w:hAnsiTheme="majorHAnsi"/>
          <w:b/>
          <w:sz w:val="24"/>
          <w:szCs w:val="24"/>
        </w:rPr>
        <w:t>LITERATURA: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A62056">
        <w:rPr>
          <w:rFonts w:asciiTheme="majorHAnsi" w:hAnsiTheme="majorHAnsi"/>
          <w:sz w:val="24"/>
          <w:szCs w:val="24"/>
        </w:rPr>
        <w:lastRenderedPageBreak/>
        <w:t xml:space="preserve">Pulka Z., </w:t>
      </w:r>
      <w:r w:rsidRPr="00A62056">
        <w:rPr>
          <w:rFonts w:asciiTheme="majorHAnsi" w:hAnsiTheme="majorHAnsi"/>
          <w:i/>
          <w:sz w:val="24"/>
          <w:szCs w:val="24"/>
        </w:rPr>
        <w:t>Podstawy prawa. Podstawa pojęcia prawa i prawoznawstwa</w:t>
      </w:r>
      <w:r w:rsidRPr="00A62056">
        <w:rPr>
          <w:rFonts w:asciiTheme="majorHAnsi" w:hAnsiTheme="majorHAnsi"/>
          <w:sz w:val="24"/>
          <w:szCs w:val="24"/>
        </w:rPr>
        <w:t>, Poznań 2008.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A62056">
        <w:rPr>
          <w:rFonts w:asciiTheme="majorHAnsi" w:hAnsiTheme="majorHAnsi"/>
          <w:sz w:val="24"/>
          <w:szCs w:val="24"/>
        </w:rPr>
        <w:t xml:space="preserve">Pulka Z., </w:t>
      </w:r>
      <w:r w:rsidRPr="00A62056">
        <w:rPr>
          <w:rFonts w:asciiTheme="majorHAnsi" w:hAnsiTheme="majorHAnsi"/>
          <w:i/>
          <w:sz w:val="24"/>
          <w:szCs w:val="24"/>
        </w:rPr>
        <w:t>Zasady prawa</w:t>
      </w:r>
      <w:r w:rsidRPr="00A62056">
        <w:rPr>
          <w:rFonts w:asciiTheme="majorHAnsi" w:hAnsiTheme="majorHAnsi"/>
          <w:sz w:val="24"/>
          <w:szCs w:val="24"/>
        </w:rPr>
        <w:t xml:space="preserve">, [w:] A. Bator (red.), </w:t>
      </w:r>
      <w:r w:rsidRPr="00A62056">
        <w:rPr>
          <w:rFonts w:asciiTheme="majorHAnsi" w:hAnsiTheme="majorHAnsi"/>
          <w:i/>
          <w:sz w:val="24"/>
          <w:szCs w:val="24"/>
        </w:rPr>
        <w:t>Wprowadzenie do nauk prawniczych. Leksykon tematyczny</w:t>
      </w:r>
      <w:r w:rsidRPr="00A62056">
        <w:rPr>
          <w:rFonts w:asciiTheme="majorHAnsi" w:hAnsiTheme="majorHAnsi"/>
          <w:sz w:val="24"/>
          <w:szCs w:val="24"/>
        </w:rPr>
        <w:t>,</w:t>
      </w:r>
      <w:r w:rsidRPr="00A62056">
        <w:rPr>
          <w:rFonts w:asciiTheme="majorHAnsi" w:hAnsiTheme="majorHAnsi"/>
          <w:sz w:val="24"/>
          <w:szCs w:val="24"/>
        </w:rPr>
        <w:t xml:space="preserve"> </w:t>
      </w:r>
      <w:r w:rsidRPr="00A62056">
        <w:rPr>
          <w:rFonts w:asciiTheme="majorHAnsi" w:hAnsiTheme="majorHAnsi"/>
          <w:sz w:val="24"/>
          <w:szCs w:val="24"/>
        </w:rPr>
        <w:t>Warszawa 2010.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:rsidR="00A62056" w:rsidRPr="00A62056" w:rsidRDefault="00A62056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62056">
        <w:rPr>
          <w:rFonts w:asciiTheme="majorHAnsi" w:hAnsiTheme="majorHAnsi"/>
          <w:b/>
          <w:sz w:val="24"/>
          <w:szCs w:val="24"/>
        </w:rPr>
        <w:t>ORZECZENIA</w:t>
      </w:r>
    </w:p>
    <w:p w:rsidR="0057424F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A62056">
        <w:rPr>
          <w:rFonts w:asciiTheme="majorHAnsi" w:hAnsiTheme="majorHAnsi"/>
          <w:sz w:val="24"/>
          <w:szCs w:val="24"/>
        </w:rPr>
        <w:t>Orzeczenie TK z dnia 26 kwietnia 1995 r., K 11/94, OTK 1995 nr 1, poz. 12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A62056">
        <w:rPr>
          <w:rFonts w:asciiTheme="majorHAnsi" w:hAnsiTheme="majorHAnsi"/>
          <w:sz w:val="24"/>
          <w:szCs w:val="24"/>
        </w:rPr>
        <w:t>Wyrok TK z dnia 25 maja 1999 r., SK 9/98, Lex nr 37323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A62056">
        <w:rPr>
          <w:rFonts w:asciiTheme="majorHAnsi" w:hAnsiTheme="majorHAnsi"/>
          <w:sz w:val="24"/>
          <w:szCs w:val="24"/>
        </w:rPr>
        <w:t>Uchwała SN z dnia 28 sierpnia 1997 r., III CZP 36/97, Lex nr 31296.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A62056">
        <w:rPr>
          <w:rFonts w:asciiTheme="majorHAnsi" w:hAnsiTheme="majorHAnsi"/>
          <w:sz w:val="24"/>
          <w:szCs w:val="24"/>
        </w:rPr>
        <w:t>Wyrok SN z dnia 16 grudnia 1992 r., I CRN 188/92, Lex nr 3857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A62056">
        <w:rPr>
          <w:rFonts w:asciiTheme="majorHAnsi" w:hAnsiTheme="majorHAnsi"/>
          <w:sz w:val="24"/>
          <w:szCs w:val="24"/>
        </w:rPr>
        <w:t>Wyrok NSA z dnia 6 lutego 1981 r., SA 819/80, ONSA 1981, nr 1, poz. 6.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A62056">
        <w:rPr>
          <w:rFonts w:asciiTheme="majorHAnsi" w:hAnsiTheme="majorHAnsi"/>
          <w:sz w:val="24"/>
          <w:szCs w:val="24"/>
        </w:rPr>
        <w:t xml:space="preserve">Wyrok WSA w Lublinie z dnia 19 października 2004 r., II SA/Lu 161/04, </w:t>
      </w:r>
      <w:r w:rsidR="000C482B">
        <w:rPr>
          <w:rFonts w:asciiTheme="majorHAnsi" w:hAnsiTheme="majorHAnsi"/>
          <w:sz w:val="24"/>
          <w:szCs w:val="24"/>
        </w:rPr>
        <w:t>CBOSA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:rsidR="00A62056" w:rsidRPr="00A62056" w:rsidRDefault="00A62056" w:rsidP="00A62056">
      <w:pPr>
        <w:pStyle w:val="Bezodstpw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62056">
        <w:rPr>
          <w:rFonts w:asciiTheme="majorHAnsi" w:hAnsiTheme="majorHAnsi"/>
          <w:b/>
          <w:sz w:val="24"/>
          <w:szCs w:val="24"/>
        </w:rPr>
        <w:t>USTAWY: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 w:rsidRPr="00A62056">
        <w:rPr>
          <w:rFonts w:asciiTheme="majorHAnsi" w:hAnsiTheme="majorHAnsi"/>
          <w:sz w:val="24"/>
          <w:szCs w:val="24"/>
        </w:rPr>
        <w:t>Ustawa z dnia 17 czerwca 1966 r. o postępowaniu egzekucyjnym w administracji (t.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2056">
        <w:rPr>
          <w:rFonts w:asciiTheme="majorHAnsi" w:hAnsiTheme="majorHAnsi"/>
          <w:sz w:val="24"/>
          <w:szCs w:val="24"/>
        </w:rPr>
        <w:t>j. Dz. U.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62056">
        <w:rPr>
          <w:rFonts w:asciiTheme="majorHAnsi" w:hAnsiTheme="majorHAnsi"/>
          <w:sz w:val="24"/>
          <w:szCs w:val="24"/>
        </w:rPr>
        <w:t>z 2016 r., poz. 599 ze zm.)</w:t>
      </w: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p w:rsidR="00A62056" w:rsidRPr="00A62056" w:rsidRDefault="00A62056" w:rsidP="00A62056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</w:p>
    <w:sectPr w:rsidR="00A62056" w:rsidRPr="00A6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56"/>
    <w:rsid w:val="000C482B"/>
    <w:rsid w:val="0057424F"/>
    <w:rsid w:val="00A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2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c i e k</dc:creator>
  <cp:lastModifiedBy>M a c i e k</cp:lastModifiedBy>
  <cp:revision>1</cp:revision>
  <dcterms:created xsi:type="dcterms:W3CDTF">2018-03-13T14:32:00Z</dcterms:created>
  <dcterms:modified xsi:type="dcterms:W3CDTF">2018-03-13T14:49:00Z</dcterms:modified>
</cp:coreProperties>
</file>