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Paweł Rafałowicz</w:t>
        <w:br/>
        <w:t>Instytut Prawa Cywilnego</w:t>
        <w:br/>
        <w:t>Zakład Prawa Cywilnego i Prawa Międzynarodowego Prywatnego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</w:rPr>
        <w:t>Przedmiot</w:t>
      </w:r>
      <w:r>
        <w:rPr>
          <w:rFonts w:cs="Times New Roman" w:ascii="Times New Roman" w:hAnsi="Times New Roman"/>
          <w:sz w:val="24"/>
        </w:rPr>
        <w:t>: Prawo cywilne - cz. ogólna i prawo zobowiązań</w:t>
        <w:br/>
      </w:r>
      <w:r>
        <w:rPr>
          <w:rFonts w:cs="Times New Roman" w:ascii="Times New Roman" w:hAnsi="Times New Roman"/>
          <w:b/>
          <w:iCs/>
          <w:sz w:val="24"/>
        </w:rPr>
        <w:t>Rodzaj zajęć</w:t>
      </w:r>
      <w:r>
        <w:rPr>
          <w:rFonts w:cs="Times New Roman" w:ascii="Times New Roman" w:hAnsi="Times New Roman"/>
          <w:iCs/>
          <w:sz w:val="24"/>
        </w:rPr>
        <w:t xml:space="preserve">: ćwiczenia </w:t>
      </w:r>
      <w:r>
        <w:rPr>
          <w:rFonts w:cs="Times New Roman" w:ascii="Times New Roman" w:hAnsi="Times New Roman"/>
          <w:sz w:val="24"/>
        </w:rPr>
        <w:br/>
      </w:r>
      <w:r>
        <w:rPr>
          <w:rFonts w:cs="Times New Roman" w:ascii="Times New Roman" w:hAnsi="Times New Roman"/>
          <w:b/>
          <w:iCs/>
          <w:sz w:val="24"/>
        </w:rPr>
        <w:t>Tryb i kierunek studiów</w:t>
      </w:r>
      <w:r>
        <w:rPr>
          <w:rFonts w:cs="Times New Roman" w:ascii="Times New Roman" w:hAnsi="Times New Roman"/>
          <w:iCs/>
          <w:sz w:val="24"/>
        </w:rPr>
        <w:t>: studia niestacjonarne jednolite magisterskie zaoczne</w:t>
        <w:br/>
      </w:r>
      <w:r>
        <w:rPr>
          <w:rFonts w:cs="Times New Roman" w:ascii="Times New Roman" w:hAnsi="Times New Roman"/>
          <w:b/>
          <w:iCs/>
          <w:sz w:val="24"/>
        </w:rPr>
        <w:t>Rok studiów</w:t>
      </w:r>
      <w:r>
        <w:rPr>
          <w:rFonts w:cs="Times New Roman" w:ascii="Times New Roman" w:hAnsi="Times New Roman"/>
          <w:iCs/>
          <w:sz w:val="24"/>
        </w:rPr>
        <w:t>: II</w:t>
        <w:br/>
      </w:r>
      <w:r>
        <w:rPr>
          <w:rFonts w:cs="Times New Roman" w:ascii="Times New Roman" w:hAnsi="Times New Roman"/>
          <w:b/>
          <w:iCs/>
          <w:sz w:val="24"/>
        </w:rPr>
        <w:t>Rok akademicki</w:t>
      </w:r>
      <w:r>
        <w:rPr>
          <w:rFonts w:cs="Times New Roman" w:ascii="Times New Roman" w:hAnsi="Times New Roman"/>
          <w:iCs/>
          <w:sz w:val="24"/>
        </w:rPr>
        <w:t>: 2017/2018</w:t>
        <w:br/>
      </w:r>
      <w:r>
        <w:rPr>
          <w:rFonts w:cs="Times New Roman" w:ascii="Times New Roman" w:hAnsi="Times New Roman"/>
          <w:b/>
          <w:iCs/>
          <w:sz w:val="24"/>
        </w:rPr>
        <w:t>Grupy ćwiczeniowe</w:t>
      </w:r>
      <w:r>
        <w:rPr>
          <w:rFonts w:cs="Times New Roman" w:ascii="Times New Roman" w:hAnsi="Times New Roman"/>
          <w:iCs/>
          <w:sz w:val="24"/>
        </w:rPr>
        <w:t>: 3, 4</w:t>
      </w:r>
    </w:p>
    <w:p>
      <w:pPr>
        <w:pStyle w:val="Normal"/>
        <w:rPr>
          <w:rFonts w:ascii="Times New Roman" w:hAnsi="Times New Roman" w:cs="Times New Roman"/>
          <w:b/>
          <w:b/>
          <w:iCs/>
          <w:sz w:val="24"/>
        </w:rPr>
      </w:pPr>
      <w:r>
        <w:rPr>
          <w:rFonts w:cs="Times New Roman" w:ascii="Times New Roman" w:hAnsi="Times New Roman"/>
          <w:b/>
          <w:iCs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iCs/>
          <w:sz w:val="24"/>
        </w:rPr>
      </w:pPr>
      <w:r>
        <w:rPr>
          <w:rFonts w:cs="Times New Roman" w:ascii="Times New Roman" w:hAnsi="Times New Roman"/>
          <w:b/>
          <w:iCs/>
          <w:sz w:val="24"/>
        </w:rPr>
        <w:t>Zajęcia = 1,5 h ćwiczeń</w:t>
      </w:r>
    </w:p>
    <w:p>
      <w:pPr>
        <w:pStyle w:val="Normal"/>
        <w:rPr>
          <w:rFonts w:ascii="Times New Roman" w:hAnsi="Times New Roman" w:cs="Times New Roman"/>
          <w:b/>
          <w:b/>
          <w:iCs/>
          <w:sz w:val="24"/>
        </w:rPr>
      </w:pPr>
      <w:r>
        <w:rPr>
          <w:rFonts w:cs="Times New Roman" w:ascii="Times New Roman" w:hAnsi="Times New Roman"/>
          <w:b/>
          <w:iCs/>
          <w:sz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b/>
          <w:bCs/>
          <w:iCs/>
          <w:sz w:val="24"/>
        </w:rPr>
        <w:t xml:space="preserve">Warunki uzyskania zaliczenia przedmiotu </w:t>
      </w:r>
    </w:p>
    <w:p>
      <w:pPr>
        <w:pStyle w:val="ListParagrap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4"/>
        </w:rPr>
        <w:t xml:space="preserve">Kolokwium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iCs/>
          <w:sz w:val="24"/>
        </w:rPr>
        <w:t>Kolokwium</w:t>
      </w:r>
      <w:r>
        <w:rPr>
          <w:rFonts w:cs="Times New Roman" w:ascii="Times New Roman" w:hAnsi="Times New Roman"/>
          <w:iCs/>
          <w:sz w:val="24"/>
        </w:rPr>
        <w:t xml:space="preserve"> odbędzie się na </w:t>
      </w:r>
      <w:r>
        <w:rPr>
          <w:rFonts w:cs="Times New Roman" w:ascii="Times New Roman" w:hAnsi="Times New Roman"/>
          <w:b/>
          <w:iCs/>
          <w:sz w:val="24"/>
        </w:rPr>
        <w:t>przedostatnich</w:t>
      </w:r>
      <w:r>
        <w:rPr>
          <w:rFonts w:cs="Times New Roman" w:ascii="Times New Roman" w:hAnsi="Times New Roman"/>
          <w:iCs/>
          <w:sz w:val="24"/>
        </w:rPr>
        <w:t xml:space="preserve"> zajęciach w semestrze zimowym w formie </w:t>
      </w:r>
      <w:r>
        <w:rPr>
          <w:rFonts w:cs="Times New Roman" w:ascii="Times New Roman" w:hAnsi="Times New Roman"/>
          <w:b/>
          <w:iCs/>
          <w:sz w:val="24"/>
        </w:rPr>
        <w:t>pisemnej</w:t>
      </w:r>
      <w:r>
        <w:rPr>
          <w:rFonts w:cs="Times New Roman" w:ascii="Times New Roman" w:hAnsi="Times New Roman"/>
          <w:iCs/>
          <w:sz w:val="24"/>
        </w:rPr>
        <w:t xml:space="preserve"> </w:t>
      </w:r>
      <w:r>
        <w:rPr>
          <w:rFonts w:cs="Times New Roman" w:ascii="Times New Roman" w:hAnsi="Times New Roman"/>
          <w:b/>
          <w:iCs/>
          <w:sz w:val="24"/>
        </w:rPr>
        <w:t>(2 pytania otwarte i 1 ka</w:t>
      </w:r>
      <w:r>
        <w:rPr>
          <w:rFonts w:cs="Times New Roman" w:ascii="Times New Roman" w:hAnsi="Times New Roman"/>
          <w:b/>
          <w:bCs/>
          <w:iCs/>
          <w:sz w:val="24"/>
        </w:rPr>
        <w:t>zus</w:t>
      </w:r>
      <w:r>
        <w:rPr>
          <w:rFonts w:cs="Times New Roman" w:ascii="Times New Roman" w:hAnsi="Times New Roman"/>
          <w:b/>
          <w:iCs/>
          <w:sz w:val="24"/>
        </w:rPr>
        <w:t>)</w:t>
      </w:r>
      <w:r>
        <w:rPr>
          <w:rFonts w:cs="Times New Roman" w:ascii="Times New Roman" w:hAnsi="Times New Roman"/>
          <w:iCs/>
          <w:sz w:val="24"/>
        </w:rPr>
        <w:t xml:space="preserve"> i obejmować będzie materiał zrealizowany na ćwiczeniach oraz wskazany przez prowadzącego. Za każde zadanie można otrzymać </w:t>
      </w:r>
      <w:r>
        <w:rPr>
          <w:rFonts w:cs="Times New Roman" w:ascii="Times New Roman" w:hAnsi="Times New Roman"/>
          <w:b/>
          <w:iCs/>
          <w:sz w:val="24"/>
        </w:rPr>
        <w:t>10 punktów</w:t>
      </w:r>
      <w:r>
        <w:rPr>
          <w:rFonts w:cs="Times New Roman" w:ascii="Times New Roman" w:hAnsi="Times New Roman"/>
          <w:iCs/>
          <w:sz w:val="24"/>
        </w:rPr>
        <w:t>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iCs/>
          <w:sz w:val="24"/>
        </w:rPr>
        <w:t>Poprawa kolokwium</w:t>
      </w:r>
      <w:r>
        <w:rPr>
          <w:rFonts w:cs="Times New Roman" w:ascii="Times New Roman" w:hAnsi="Times New Roman"/>
          <w:iCs/>
          <w:sz w:val="24"/>
        </w:rPr>
        <w:t>, w identycznej formie jak pierwszy termin, odbędzie się podczas ostatnich zajęć w semestrze.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Cs/>
          <w:sz w:val="24"/>
        </w:rPr>
        <w:t xml:space="preserve">Kolokwium można poprawić tylko raz. Nie ma możliwości poprawy oceny pozytywnej.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Cs/>
          <w:sz w:val="24"/>
        </w:rPr>
        <w:t xml:space="preserve">Ocenę niedostateczną można poprawić tylko na ocenę dostateczną (3). Do punktów uzyskanych z poprawy nie wliczają się plusy zdobyte podczas ćwiczeń z aktywności. 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b/>
          <w:bCs/>
          <w:iCs/>
          <w:sz w:val="24"/>
        </w:rPr>
        <w:t xml:space="preserve">Obecność na zajęciach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Cs/>
          <w:sz w:val="24"/>
        </w:rPr>
        <w:t xml:space="preserve">Warunkiem koniecznym do zaliczenia ćwiczeń jest obecność studenta na zajęciach. Dopuszczalna jest </w:t>
      </w:r>
      <w:r>
        <w:rPr>
          <w:rFonts w:cs="Times New Roman" w:ascii="Times New Roman" w:hAnsi="Times New Roman"/>
          <w:b/>
          <w:iCs/>
          <w:sz w:val="24"/>
        </w:rPr>
        <w:t>jedna nieobecność</w:t>
      </w:r>
      <w:r>
        <w:rPr>
          <w:rFonts w:cs="Times New Roman" w:ascii="Times New Roman" w:hAnsi="Times New Roman"/>
          <w:iCs/>
          <w:sz w:val="24"/>
        </w:rPr>
        <w:t xml:space="preserve"> w trakcie trwania semestru. Każdą kolejną nieobecność student ma obowiązek zaliczyć na pierwszych konsultacjach następujących po opuszczonych zajęciach, poprzez udzielenie </w:t>
      </w:r>
      <w:r>
        <w:rPr>
          <w:rFonts w:cs="Times New Roman" w:ascii="Times New Roman" w:hAnsi="Times New Roman"/>
          <w:b/>
          <w:iCs/>
          <w:sz w:val="24"/>
        </w:rPr>
        <w:t>ustnej</w:t>
      </w:r>
      <w:r>
        <w:rPr>
          <w:rFonts w:cs="Times New Roman" w:ascii="Times New Roman" w:hAnsi="Times New Roman"/>
          <w:iCs/>
          <w:sz w:val="24"/>
        </w:rPr>
        <w:t xml:space="preserve"> odpowiedzi na </w:t>
      </w:r>
      <w:r>
        <w:rPr>
          <w:rFonts w:cs="Times New Roman" w:ascii="Times New Roman" w:hAnsi="Times New Roman"/>
          <w:b/>
          <w:iCs/>
          <w:sz w:val="24"/>
        </w:rPr>
        <w:t>jedno</w:t>
      </w:r>
      <w:r>
        <w:rPr>
          <w:rFonts w:cs="Times New Roman" w:ascii="Times New Roman" w:hAnsi="Times New Roman"/>
          <w:iCs/>
          <w:sz w:val="24"/>
        </w:rPr>
        <w:t xml:space="preserve"> pytanie problemowe z zakresu omawianego na opuszczonych zajęciach. </w:t>
      </w:r>
    </w:p>
    <w:p>
      <w:pPr>
        <w:pStyle w:val="Normal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Spóźnienie się studenta na zajęcia więcej niż 15 minut jest równoznaczne z nieobecnością.</w:t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iCs/>
          <w:sz w:val="24"/>
        </w:rPr>
        <w:t>Warunkiem podejścia do kolokwium jest zaliczenie wszystkich nadliczbowych nieobecności.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iCs/>
          <w:sz w:val="24"/>
        </w:rPr>
        <w:t xml:space="preserve">UWAGA! </w:t>
      </w:r>
      <w:r>
        <w:rPr>
          <w:rFonts w:cs="Times New Roman" w:ascii="Times New Roman" w:hAnsi="Times New Roman"/>
          <w:iCs/>
          <w:sz w:val="24"/>
        </w:rPr>
        <w:t xml:space="preserve">Zgodnie z </w:t>
      </w:r>
      <w:hyperlink r:id="rId2">
        <w:r>
          <w:rPr>
            <w:rStyle w:val="Czeinternetowe"/>
            <w:rFonts w:cs="Times New Roman" w:ascii="Times New Roman" w:hAnsi="Times New Roman"/>
            <w:iCs/>
            <w:sz w:val="24"/>
          </w:rPr>
          <w:t>zarządzeniem nr 18/2017 Dziekana Wydziału Prawa, Administracji i Ekonomii Uniwersytetu Wrocławskiego z dnia 27 lipca 2017 r.</w:t>
        </w:r>
      </w:hyperlink>
      <w:r>
        <w:rPr>
          <w:rFonts w:cs="Times New Roman" w:ascii="Times New Roman" w:hAnsi="Times New Roman"/>
          <w:iCs/>
          <w:sz w:val="24"/>
        </w:rPr>
        <w:t xml:space="preserve"> w sprawie monitorowania obecności na zajęciach na Wydziale Prawa, Administracji i Ekonomii UWr, w przypadku </w:t>
      </w:r>
      <w:r>
        <w:rPr>
          <w:rFonts w:cs="Times New Roman" w:ascii="Times New Roman" w:hAnsi="Times New Roman"/>
          <w:b/>
          <w:iCs/>
          <w:sz w:val="24"/>
        </w:rPr>
        <w:t>trzech kolejno występujących po sobie  nieusprawiedliwionych nieobecnościach</w:t>
      </w:r>
      <w:r>
        <w:rPr>
          <w:rFonts w:cs="Times New Roman" w:ascii="Times New Roman" w:hAnsi="Times New Roman"/>
          <w:iCs/>
          <w:sz w:val="24"/>
        </w:rPr>
        <w:t xml:space="preserve"> prowadzący zajęcia zobowiązany jest  najpóźniej w terminie 5 dni od wystąpienia trzeciej nieobecności, dostarczyć do dziekanatu w formie pisemnej listę tych osób wraz z numerami albumu, z wyjątkiem studentów, którzy uzyskali zgodę na eksternistyczne zaliczanie niektórych zajęć, zgodnie z Regulaminem studiów w Uniwersytecie Wrocławskim.</w:t>
      </w:r>
    </w:p>
    <w:p>
      <w:pPr>
        <w:pStyle w:val="Normal"/>
        <w:rPr>
          <w:rFonts w:ascii="Times New Roman" w:hAnsi="Times New Roman" w:cs="Times New Roman"/>
          <w:b/>
          <w:b/>
          <w:iCs/>
          <w:sz w:val="24"/>
        </w:rPr>
      </w:pPr>
      <w:r>
        <w:rPr>
          <w:rFonts w:cs="Times New Roman" w:ascii="Times New Roman" w:hAnsi="Times New Roman"/>
          <w:b/>
          <w:iCs/>
          <w:sz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b/>
          <w:bCs/>
          <w:iCs/>
          <w:sz w:val="24"/>
        </w:rPr>
        <w:t xml:space="preserve">Aktywność na zajęciach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Cs/>
          <w:sz w:val="24"/>
        </w:rPr>
        <w:t xml:space="preserve">Za aktywność na zajęciach tj. udział w dyskusji, rozwiązanie kazusów itp., student może otrzymać </w:t>
      </w:r>
      <w:r>
        <w:rPr>
          <w:rFonts w:cs="Times New Roman" w:ascii="Times New Roman" w:hAnsi="Times New Roman"/>
          <w:b/>
          <w:iCs/>
          <w:sz w:val="24"/>
        </w:rPr>
        <w:t>plusy</w:t>
      </w:r>
      <w:r>
        <w:rPr>
          <w:rFonts w:cs="Times New Roman" w:ascii="Times New Roman" w:hAnsi="Times New Roman"/>
          <w:iCs/>
          <w:sz w:val="24"/>
        </w:rPr>
        <w:t>. Na jednych zajęciach można otrzymać jednego plusa. Otrzymane plusy będą wliczane do punktacji w sposób następujący: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iCs/>
          <w:sz w:val="24"/>
        </w:rPr>
        <w:t>4 x +</w:t>
      </w:r>
      <w:r>
        <w:rPr>
          <w:rFonts w:cs="Times New Roman" w:ascii="Times New Roman" w:hAnsi="Times New Roman"/>
          <w:iCs/>
          <w:sz w:val="24"/>
        </w:rPr>
        <w:t xml:space="preserve"> = jeden stopień w górę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iCs/>
          <w:sz w:val="24"/>
        </w:rPr>
        <w:t>2 x +</w:t>
      </w:r>
      <w:r>
        <w:rPr>
          <w:rFonts w:cs="Times New Roman" w:ascii="Times New Roman" w:hAnsi="Times New Roman"/>
          <w:iCs/>
          <w:sz w:val="24"/>
        </w:rPr>
        <w:t xml:space="preserve"> = pół stopnia w górę</w:t>
      </w:r>
    </w:p>
    <w:p>
      <w:pPr>
        <w:pStyle w:val="Normal"/>
        <w:rPr>
          <w:rFonts w:ascii="Times New Roman" w:hAnsi="Times New Roman" w:cs="Times New Roman"/>
          <w:b/>
          <w:b/>
          <w:iCs/>
          <w:sz w:val="24"/>
        </w:rPr>
      </w:pPr>
      <w:r>
        <w:rPr>
          <w:rFonts w:cs="Times New Roman" w:ascii="Times New Roman" w:hAnsi="Times New Roman"/>
          <w:b/>
          <w:iCs/>
          <w:sz w:val="24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b/>
          <w:bCs/>
          <w:iCs/>
          <w:sz w:val="24"/>
        </w:rPr>
        <w:t>Ocena z przedmiotu w semestrze zimowym</w:t>
      </w:r>
    </w:p>
    <w:p>
      <w:pPr>
        <w:pStyle w:val="Normal"/>
        <w:rPr/>
      </w:pPr>
      <w:r>
        <w:rPr>
          <w:rFonts w:cs="Times New Roman" w:ascii="Times New Roman" w:hAnsi="Times New Roman"/>
          <w:iCs/>
          <w:sz w:val="24"/>
        </w:rPr>
        <w:t>Ocenę z przedmiotu stanowi uzyskany wynik z kolokwium oraz punkty za aktywność.</w:t>
      </w:r>
    </w:p>
    <w:p>
      <w:pPr>
        <w:pStyle w:val="Normal"/>
        <w:rPr/>
      </w:pPr>
      <w:r>
        <w:rPr>
          <w:rFonts w:cs="Times New Roman" w:ascii="Times New Roman" w:hAnsi="Times New Roman"/>
          <w:iCs/>
          <w:sz w:val="24"/>
        </w:rPr>
        <w:t>Punktacja kolokwium prezentuje się następująco:</w:t>
      </w:r>
    </w:p>
    <w:p>
      <w:pPr>
        <w:pStyle w:val="Normal"/>
        <w:rPr/>
      </w:pPr>
      <w:r>
        <w:rPr>
          <w:rFonts w:cs="Times New Roman" w:ascii="Times New Roman" w:hAnsi="Times New Roman"/>
          <w:b/>
          <w:iCs/>
          <w:sz w:val="24"/>
        </w:rPr>
        <w:t>30 pkt – 29 pkt - bardzo dobry (5)</w:t>
        <w:br/>
        <w:t>28 pkt – 27 pkt - dobry plus (4+)</w:t>
        <w:br/>
        <w:t>26 pkt – 23  pkt - dobry (4)</w:t>
        <w:br/>
        <w:t>22 pkt – 18 pkt - dostateczny plus (3+)</w:t>
        <w:br/>
        <w:t>17 pkt– 13 pkt - dostateczny (3)</w:t>
        <w:br/>
        <w:t>12 pkt - 0 pkt - niedostateczny (2)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iCs/>
          <w:sz w:val="24"/>
        </w:rPr>
        <w:t>Warunkiem wliczenia plusów do punktów z kolokwium jest uzyskanie z niego co najmniej 13 pkt!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Cs/>
          <w:sz w:val="24"/>
        </w:rPr>
      </w:pPr>
      <w:r>
        <w:rPr>
          <w:rFonts w:cs="Times New Roman" w:ascii="Times New Roman" w:hAnsi="Times New Roman"/>
          <w:b/>
          <w:iCs/>
          <w:sz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b/>
          <w:bCs/>
          <w:iCs/>
          <w:sz w:val="24"/>
        </w:rPr>
        <w:t xml:space="preserve">Kontakt 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 xml:space="preserve">Kontakt z prowadzącym możliwy jest za pomocą </w:t>
      </w:r>
      <w:r>
        <w:rPr>
          <w:rFonts w:cs="Times New Roman" w:ascii="Times New Roman" w:hAnsi="Times New Roman"/>
          <w:b/>
          <w:iCs/>
          <w:sz w:val="24"/>
        </w:rPr>
        <w:t>poczty elektronicznej</w:t>
      </w:r>
      <w:r>
        <w:rPr>
          <w:rFonts w:cs="Times New Roman" w:ascii="Times New Roman" w:hAnsi="Times New Roman"/>
          <w:iCs/>
          <w:sz w:val="24"/>
        </w:rPr>
        <w:t xml:space="preserve"> (pawel.rafalowicz@uwr.edu.pl)  oraz na </w:t>
      </w:r>
      <w:r>
        <w:rPr>
          <w:rFonts w:cs="Times New Roman" w:ascii="Times New Roman" w:hAnsi="Times New Roman"/>
          <w:b/>
          <w:iCs/>
          <w:sz w:val="24"/>
        </w:rPr>
        <w:t>konsultacjach</w:t>
      </w:r>
      <w:r>
        <w:rPr>
          <w:rFonts w:cs="Times New Roman" w:ascii="Times New Roman" w:hAnsi="Times New Roman"/>
          <w:iCs/>
          <w:sz w:val="24"/>
        </w:rPr>
        <w:t xml:space="preserve">. 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 xml:space="preserve">Konsultacje odbywają się w pokoju 104 A według harmonogramu zamieszczonego na stronie prowadzącego  (https://prawo.uni.wroc.pl/user/35993). 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Zamiar oraz cel przybycia na konsultacje powinien być każdorazowo zgłoszony za pomocą poczty elektronicznej co najmniej na dzień przed terminem dyżuru.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 xml:space="preserve">W trakcie konsultacji możliwe jest zaliczenie nieobecności oraz rozwianie wątpliwości z materii przedmiotu. </w:t>
      </w:r>
    </w:p>
    <w:p>
      <w:pPr>
        <w:pStyle w:val="Normal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b/>
          <w:bCs/>
          <w:iCs/>
          <w:sz w:val="24"/>
        </w:rPr>
        <w:t xml:space="preserve">Przygotowanie do zajęć 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 xml:space="preserve">Student zobowiązany jest do </w:t>
      </w:r>
      <w:r>
        <w:rPr>
          <w:rFonts w:cs="Times New Roman" w:ascii="Times New Roman" w:hAnsi="Times New Roman"/>
          <w:b/>
          <w:iCs/>
          <w:sz w:val="24"/>
        </w:rPr>
        <w:t>przygotowania</w:t>
      </w:r>
      <w:r>
        <w:rPr>
          <w:rFonts w:cs="Times New Roman" w:ascii="Times New Roman" w:hAnsi="Times New Roman"/>
          <w:iCs/>
          <w:sz w:val="24"/>
        </w:rPr>
        <w:t xml:space="preserve"> się na każde następne zajęcia, poprzez przyswojenie wiedzy z zakresu stanowiącego ich przedmiot oraz wykonania zaleconych zadań.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Cs/>
          <w:sz w:val="24"/>
        </w:rPr>
        <w:t xml:space="preserve">Na ćwiczenia student powinien przynosić ustawę z dnia 23 kwietnia 1964 r. – </w:t>
      </w:r>
      <w:r>
        <w:rPr>
          <w:rFonts w:cs="Times New Roman" w:ascii="Times New Roman" w:hAnsi="Times New Roman"/>
          <w:b/>
          <w:iCs/>
          <w:sz w:val="24"/>
        </w:rPr>
        <w:t>Kodeks cywilny</w:t>
      </w:r>
      <w:r>
        <w:rPr>
          <w:rFonts w:cs="Times New Roman" w:ascii="Times New Roman" w:hAnsi="Times New Roman"/>
          <w:iCs/>
          <w:sz w:val="24"/>
        </w:rPr>
        <w:t xml:space="preserve"> (Dz. U.  2017 r. poz. 459 ze zm.) i inne materiały wymagane przez prowadzącego.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iCs/>
          <w:sz w:val="24"/>
        </w:rPr>
        <w:t>Literatura podstawowa</w:t>
      </w:r>
      <w:r>
        <w:rPr>
          <w:rFonts w:cs="Times New Roman" w:ascii="Times New Roman" w:hAnsi="Times New Roman"/>
          <w:iCs/>
          <w:sz w:val="24"/>
        </w:rPr>
        <w:t xml:space="preserve">: </w:t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iCs/>
          <w:sz w:val="24"/>
        </w:rPr>
        <w:t xml:space="preserve">Radwański Z., Olejniczak A., </w:t>
      </w:r>
      <w:r>
        <w:rPr>
          <w:rFonts w:cs="Times New Roman" w:ascii="Times New Roman" w:hAnsi="Times New Roman"/>
          <w:i/>
          <w:iCs/>
          <w:sz w:val="24"/>
        </w:rPr>
        <w:t>Zobowiązania – część ogólna</w:t>
      </w:r>
      <w:r>
        <w:rPr>
          <w:rFonts w:cs="Times New Roman" w:ascii="Times New Roman" w:hAnsi="Times New Roman"/>
          <w:iCs/>
          <w:sz w:val="24"/>
        </w:rPr>
        <w:t>, Warszawa 2016</w:t>
        <w:br/>
        <w:t xml:space="preserve">Radwański Z., Panowicz-Lipska J., </w:t>
      </w:r>
      <w:r>
        <w:rPr>
          <w:rFonts w:cs="Times New Roman" w:ascii="Times New Roman" w:hAnsi="Times New Roman"/>
          <w:i/>
          <w:iCs/>
          <w:sz w:val="24"/>
        </w:rPr>
        <w:t>Zobowiązania – część szczegółowa</w:t>
      </w:r>
      <w:r>
        <w:rPr>
          <w:rFonts w:cs="Times New Roman" w:ascii="Times New Roman" w:hAnsi="Times New Roman"/>
          <w:sz w:val="24"/>
        </w:rPr>
        <w:t>, Warszawa 2017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iCs/>
          <w:sz w:val="24"/>
        </w:rPr>
        <w:t>Literatura uzupełniająca</w:t>
      </w:r>
      <w:r>
        <w:rPr>
          <w:rFonts w:cs="Times New Roman" w:ascii="Times New Roman" w:hAnsi="Times New Roman"/>
          <w:iCs/>
          <w:sz w:val="24"/>
        </w:rPr>
        <w:t xml:space="preserve">: </w:t>
      </w:r>
    </w:p>
    <w:p>
      <w:pPr>
        <w:pStyle w:val="Normal"/>
        <w:rPr>
          <w:rFonts w:ascii="Times New Roman" w:hAnsi="Times New Roman"/>
          <w:i/>
          <w:i/>
          <w:iCs/>
        </w:rPr>
      </w:pPr>
      <w:r>
        <w:rPr>
          <w:rFonts w:cs="Times New Roman" w:ascii="Times New Roman" w:hAnsi="Times New Roman"/>
          <w:i/>
          <w:iCs/>
          <w:sz w:val="24"/>
        </w:rPr>
        <w:t xml:space="preserve">Zarys prawa cywilnego, </w:t>
      </w:r>
      <w:r>
        <w:rPr>
          <w:rFonts w:cs="Times New Roman" w:ascii="Times New Roman" w:hAnsi="Times New Roman"/>
          <w:sz w:val="24"/>
        </w:rPr>
        <w:t>red. E. Gniewek, P. Machnikowski, Warszawa 2016</w:t>
        <w:br/>
      </w:r>
      <w:r>
        <w:rPr>
          <w:rFonts w:cs="Times New Roman" w:ascii="Times New Roman" w:hAnsi="Times New Roman"/>
          <w:i/>
          <w:iCs/>
          <w:sz w:val="24"/>
        </w:rPr>
        <w:t>Zobowiązania – zarys wykładu</w:t>
      </w:r>
      <w:r>
        <w:rPr>
          <w:rFonts w:cs="Times New Roman" w:ascii="Times New Roman" w:hAnsi="Times New Roman"/>
          <w:sz w:val="24"/>
        </w:rPr>
        <w:t>, red. W. Czachórski, Warszawa 2009</w:t>
        <w:br/>
      </w:r>
      <w:r>
        <w:rPr>
          <w:rFonts w:cs="Times New Roman" w:ascii="Times New Roman" w:hAnsi="Times New Roman"/>
          <w:i/>
          <w:iCs/>
          <w:sz w:val="24"/>
        </w:rPr>
        <w:t>Zobowiązania. Pytania, kazusy, tablice</w:t>
      </w:r>
      <w:r>
        <w:rPr>
          <w:rFonts w:cs="Times New Roman" w:ascii="Times New Roman" w:hAnsi="Times New Roman"/>
          <w:sz w:val="24"/>
        </w:rPr>
        <w:t>, red. M. Drela, Warszawa 2016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Proszę zwracać uwagę na nowelizacje KC, których podręczniki nie uwzględniają.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Cs/>
          <w:sz w:val="24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4"/>
        </w:rPr>
        <w:t xml:space="preserve">Tematy realizowane w semestrze letnim 2017/2018 oraz zagadnienia na kolokwium: </w:t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iCs/>
          <w:sz w:val="24"/>
        </w:rPr>
        <w:t>W tym semestrze omawiane będą następujące zagadnienia prawa zobowiązań: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cs="Times New Roman" w:ascii="Times New Roman" w:hAnsi="Times New Roman"/>
          <w:iCs/>
          <w:sz w:val="24"/>
        </w:rPr>
        <w:t>Odpowiedzialność deliktowa.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cs="Times New Roman" w:ascii="Times New Roman" w:hAnsi="Times New Roman"/>
          <w:iCs/>
          <w:sz w:val="24"/>
        </w:rPr>
        <w:t xml:space="preserve">Odpowiedzialność </w:t>
      </w:r>
      <w:r>
        <w:rPr>
          <w:rFonts w:cs="Times New Roman" w:ascii="Times New Roman" w:hAnsi="Times New Roman"/>
          <w:iCs/>
          <w:color w:val="000000"/>
          <w:sz w:val="24"/>
        </w:rPr>
        <w:t>za szkodę wyrządzoną przez produkt niebezpieczny.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cs="Times New Roman" w:ascii="Times New Roman" w:hAnsi="Times New Roman"/>
          <w:iCs/>
          <w:sz w:val="24"/>
        </w:rPr>
        <w:t>Sprzedaż.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cs="Times New Roman" w:ascii="Times New Roman" w:hAnsi="Times New Roman"/>
          <w:iCs/>
          <w:sz w:val="24"/>
        </w:rPr>
        <w:t>Darowizna.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cs="Times New Roman" w:ascii="Times New Roman" w:hAnsi="Times New Roman"/>
          <w:iCs/>
          <w:sz w:val="24"/>
        </w:rPr>
        <w:t>Najem i ochrona praw lokatorów.</w:t>
      </w:r>
    </w:p>
    <w:p>
      <w:pPr>
        <w:pStyle w:val="ListParagraph"/>
        <w:ind w:left="1080" w:hanging="0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</w:r>
    </w:p>
    <w:p>
      <w:pPr>
        <w:pStyle w:val="ListParagraph"/>
        <w:rPr>
          <w:rFonts w:cs="Times New Roman"/>
          <w:iCs/>
          <w:sz w:val="24"/>
        </w:rPr>
      </w:pPr>
      <w:r>
        <w:rPr>
          <w:rFonts w:cs="Times New Roman"/>
          <w:iCs/>
          <w:sz w:val="24"/>
        </w:rPr>
      </w:r>
    </w:p>
    <w:p>
      <w:pPr>
        <w:pStyle w:val="ListParagraph"/>
        <w:rPr>
          <w:rFonts w:cs="Times New Roman"/>
          <w:iCs/>
          <w:sz w:val="24"/>
        </w:rPr>
      </w:pPr>
      <w:r>
        <w:rPr>
          <w:rFonts w:cs="Times New Roman"/>
          <w:iCs/>
          <w:sz w:val="24"/>
        </w:rPr>
      </w:r>
    </w:p>
    <w:p>
      <w:pPr>
        <w:pStyle w:val="ListParagraph"/>
        <w:spacing w:before="240" w:after="200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b/>
          <w:bCs/>
          <w:iCs/>
          <w:sz w:val="24"/>
        </w:rPr>
        <w:t xml:space="preserve">Sprawy inne 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Sprawy nieuregulowanie w tym dokumencie rozstrzygane są indywidualnie przez prowadzącego.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cs="Times New Roman" w:ascii="Times New Roman" w:hAnsi="Times New Roman"/>
          <w:b/>
          <w:iCs/>
          <w:sz w:val="24"/>
        </w:rPr>
        <w:t>Uwagi</w:t>
      </w:r>
    </w:p>
    <w:p>
      <w:pPr>
        <w:pStyle w:val="Normal"/>
        <w:widowControl/>
        <w:bidi w:val="0"/>
        <w:spacing w:before="0" w:after="200"/>
        <w:jc w:val="left"/>
        <w:rPr/>
      </w:pPr>
      <w:bookmarkStart w:id="0" w:name="_GoBack"/>
      <w:bookmarkEnd w:id="0"/>
      <w:r>
        <w:rPr>
          <w:rFonts w:cs="Times New Roman" w:ascii="Times New Roman" w:hAnsi="Times New Roman"/>
          <w:iCs/>
          <w:sz w:val="24"/>
        </w:rPr>
        <w:t>Przewiduję możliwość zmiany sposobu prowadzenia zajęć ze względu na potrzeby dydaktyczne grupy.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720" w:hanging="72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86" w:hanging="360"/>
      </w:pPr>
      <w:rPr>
        <w:sz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4828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 w:customStyle="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 w:customStyle="1">
    <w:name w:val="ListLabel 2"/>
    <w:qFormat/>
    <w:rPr>
      <w:rFonts w:ascii="Times New Roman" w:hAnsi="Times New Roman"/>
      <w:b/>
      <w:sz w:val="24"/>
    </w:rPr>
  </w:style>
  <w:style w:type="character" w:styleId="ListLabel3" w:customStyle="1">
    <w:name w:val="ListLabel 3"/>
    <w:qFormat/>
    <w:rPr>
      <w:rFonts w:eastAsia="Calibri" w:cs="Times New Roman"/>
      <w:sz w:val="24"/>
    </w:rPr>
  </w:style>
  <w:style w:type="character" w:styleId="ListLabel4" w:customStyle="1">
    <w:name w:val="ListLabel 4"/>
    <w:qFormat/>
    <w:rPr>
      <w:rFonts w:ascii="Times New Roman" w:hAnsi="Times New Roman"/>
      <w:b/>
      <w:sz w:val="24"/>
    </w:rPr>
  </w:style>
  <w:style w:type="character" w:styleId="ListLabel5" w:customStyle="1">
    <w:name w:val="ListLabel 5"/>
    <w:qFormat/>
    <w:rPr>
      <w:rFonts w:ascii="Times New Roman" w:hAnsi="Times New Roman"/>
      <w:b/>
      <w:sz w:val="24"/>
    </w:rPr>
  </w:style>
  <w:style w:type="character" w:styleId="ListLabel6" w:customStyle="1">
    <w:name w:val="ListLabel 6"/>
    <w:qFormat/>
    <w:rPr>
      <w:rFonts w:ascii="Times New Roman" w:hAnsi="Times New Roman"/>
      <w:b/>
      <w:sz w:val="24"/>
    </w:rPr>
  </w:style>
  <w:style w:type="character" w:styleId="Czeinternetowe">
    <w:name w:val="Łącze internetowe"/>
    <w:basedOn w:val="DefaultParagraphFont"/>
    <w:uiPriority w:val="99"/>
    <w:unhideWhenUsed/>
    <w:rsid w:val="00e157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15700"/>
    <w:rPr>
      <w:color w:val="800080" w:themeColor="followedHyperlink"/>
      <w:u w:val="single"/>
    </w:rPr>
  </w:style>
  <w:style w:type="character" w:styleId="ListLabel7">
    <w:name w:val="ListLabel 7"/>
    <w:qFormat/>
    <w:rPr>
      <w:rFonts w:ascii="Times New Roman" w:hAnsi="Times New Roman"/>
      <w:b/>
      <w:sz w:val="24"/>
    </w:rPr>
  </w:style>
  <w:style w:type="character" w:styleId="ListLabel8">
    <w:name w:val="ListLabel 8"/>
    <w:qFormat/>
    <w:rPr>
      <w:rFonts w:ascii="Times New Roman" w:hAnsi="Times New Roman"/>
      <w:sz w:val="24"/>
    </w:rPr>
  </w:style>
  <w:style w:type="character" w:styleId="ListLabel9">
    <w:name w:val="ListLabel 9"/>
    <w:qFormat/>
    <w:rPr>
      <w:rFonts w:ascii="Times New Roman" w:hAnsi="Times New Roman"/>
      <w:b/>
      <w:sz w:val="24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482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awo.uni.wroc.pl/sites/default/files/attachments/page/Zarz&#261;dzenie_18_Dziekana_WPAE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LibreOffice/5.1.0.3$Windows_x86 LibreOffice_project/5e3e00a007d9b3b6efb6797a8b8e57b51ab1f737</Application>
  <Pages>4</Pages>
  <Words>678</Words>
  <CharactersWithSpaces>4260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2017-10-05T13:05:00Z</dcterms:created>
  <dc:creator>Paweł</dc:creator>
  <dc:description/>
  <dc:language>pl-PL</dc:language>
  <cp:lastModifiedBy/>
  <dcterms:modified xsi:type="dcterms:W3CDTF">2017-10-05T22:50:12Z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