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7CD2" w14:textId="77777777" w:rsidR="00051E89" w:rsidRDefault="00ED3E6A">
      <w:pPr>
        <w:jc w:val="center"/>
      </w:pPr>
      <w:hyperlink r:id="rId5">
        <w:r>
          <w:rPr>
            <w:rStyle w:val="czeinternetowe"/>
            <w:rFonts w:asciiTheme="majorHAnsi" w:eastAsia="Calibri" w:hAnsiTheme="majorHAnsi"/>
            <w:b/>
            <w:color w:val="auto"/>
          </w:rPr>
          <w:t>P</w:t>
        </w:r>
      </w:hyperlink>
      <w:r>
        <w:rPr>
          <w:rStyle w:val="czeinternetowe"/>
          <w:rFonts w:asciiTheme="majorHAnsi" w:eastAsia="Calibri" w:hAnsiTheme="majorHAnsi"/>
          <w:b/>
          <w:color w:val="auto"/>
        </w:rPr>
        <w:t>robacja i system dozoru elektronicznego – warsztaty ze stosowania prawa</w:t>
      </w:r>
    </w:p>
    <w:p w14:paraId="507850B7" w14:textId="77777777" w:rsidR="00051E89" w:rsidRDefault="00ED3E6A">
      <w:pPr>
        <w:spacing w:line="360" w:lineRule="auto"/>
        <w:jc w:val="center"/>
      </w:pPr>
      <w:r>
        <w:rPr>
          <w:rStyle w:val="wrtext"/>
          <w:rFonts w:asciiTheme="majorHAnsi" w:hAnsiTheme="majorHAnsi"/>
        </w:rPr>
        <w:t xml:space="preserve">Kierunek: </w:t>
      </w:r>
      <w:r>
        <w:rPr>
          <w:rStyle w:val="wrtext"/>
          <w:rFonts w:asciiTheme="majorHAnsi" w:eastAsia="Calibri" w:hAnsiTheme="majorHAnsi"/>
        </w:rPr>
        <w:t>Administracja</w:t>
      </w:r>
    </w:p>
    <w:p w14:paraId="32BD60D0" w14:textId="7D1AF14F" w:rsidR="00051E89" w:rsidRDefault="00ED3E6A">
      <w:pPr>
        <w:spacing w:line="360" w:lineRule="auto"/>
        <w:jc w:val="center"/>
      </w:pPr>
      <w:r>
        <w:rPr>
          <w:rStyle w:val="wrtext"/>
          <w:rFonts w:asciiTheme="majorHAnsi" w:eastAsia="Calibri" w:hAnsiTheme="majorHAnsi"/>
        </w:rPr>
        <w:t>Studia stacjonarne</w:t>
      </w:r>
      <w:r>
        <w:rPr>
          <w:rStyle w:val="wrtext"/>
          <w:rFonts w:asciiTheme="majorHAnsi" w:hAnsiTheme="majorHAnsi"/>
        </w:rPr>
        <w:t xml:space="preserve"> II stopnia (semestr letni 20</w:t>
      </w:r>
      <w:r w:rsidR="00830B56">
        <w:rPr>
          <w:rStyle w:val="wrtext"/>
          <w:rFonts w:asciiTheme="majorHAnsi" w:hAnsiTheme="majorHAnsi"/>
        </w:rPr>
        <w:t>20</w:t>
      </w:r>
      <w:r>
        <w:rPr>
          <w:rStyle w:val="wrtext"/>
          <w:rFonts w:asciiTheme="majorHAnsi" w:hAnsiTheme="majorHAnsi"/>
        </w:rPr>
        <w:t>/20</w:t>
      </w:r>
      <w:r w:rsidR="00830B56">
        <w:rPr>
          <w:rStyle w:val="wrtext"/>
          <w:rFonts w:asciiTheme="majorHAnsi" w:hAnsiTheme="majorHAnsi"/>
        </w:rPr>
        <w:t>21</w:t>
      </w:r>
      <w:r>
        <w:rPr>
          <w:rStyle w:val="wrtext"/>
          <w:rFonts w:asciiTheme="majorHAnsi" w:hAnsiTheme="majorHAnsi"/>
        </w:rPr>
        <w:t>)</w:t>
      </w:r>
    </w:p>
    <w:p w14:paraId="2637C75B" w14:textId="77777777" w:rsidR="00051E89" w:rsidRDefault="00ED3E6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I. Charakterystyka zajęć:</w:t>
      </w:r>
    </w:p>
    <w:p w14:paraId="44E7C5F3" w14:textId="77777777" w:rsidR="00051E89" w:rsidRDefault="00ED3E6A">
      <w:pPr>
        <w:spacing w:line="360" w:lineRule="auto"/>
        <w:jc w:val="both"/>
      </w:pPr>
      <w:r>
        <w:rPr>
          <w:rFonts w:asciiTheme="majorHAnsi" w:hAnsiTheme="majorHAnsi"/>
          <w:b/>
          <w:bCs/>
        </w:rPr>
        <w:t xml:space="preserve">* 10 </w:t>
      </w:r>
      <w:r>
        <w:rPr>
          <w:rFonts w:asciiTheme="majorHAnsi" w:hAnsiTheme="majorHAnsi"/>
          <w:b/>
        </w:rPr>
        <w:t>godzin</w:t>
      </w:r>
      <w:r>
        <w:rPr>
          <w:rFonts w:asciiTheme="majorHAnsi" w:hAnsiTheme="majorHAnsi"/>
        </w:rPr>
        <w:t xml:space="preserve"> (5 spotkań po 2 h zajęciowe)</w:t>
      </w:r>
    </w:p>
    <w:p w14:paraId="0AA1D798" w14:textId="5E2665AF" w:rsidR="00051E89" w:rsidRDefault="00ED3E6A">
      <w:pPr>
        <w:spacing w:line="360" w:lineRule="auto"/>
        <w:jc w:val="both"/>
      </w:pPr>
      <w:r>
        <w:rPr>
          <w:rFonts w:asciiTheme="majorHAnsi" w:eastAsia="Calibri" w:hAnsiTheme="majorHAnsi"/>
          <w:b/>
          <w:bCs/>
        </w:rPr>
        <w:t>1)</w:t>
      </w:r>
      <w:r>
        <w:rPr>
          <w:rFonts w:asciiTheme="majorHAnsi" w:eastAsia="Calibri" w:hAnsiTheme="majorHAnsi"/>
        </w:rPr>
        <w:t xml:space="preserve"> </w:t>
      </w:r>
      <w:r w:rsidR="00830B56">
        <w:rPr>
          <w:rFonts w:asciiTheme="majorHAnsi" w:eastAsia="Calibri" w:hAnsiTheme="majorHAnsi"/>
          <w:b/>
          <w:bCs/>
        </w:rPr>
        <w:t>9</w:t>
      </w:r>
      <w:r>
        <w:rPr>
          <w:rFonts w:asciiTheme="majorHAnsi" w:eastAsia="Calibri" w:hAnsiTheme="majorHAnsi"/>
          <w:b/>
          <w:bCs/>
        </w:rPr>
        <w:t xml:space="preserve"> marca</w:t>
      </w:r>
      <w:r>
        <w:rPr>
          <w:rFonts w:asciiTheme="majorHAnsi" w:hAnsiTheme="majorHAnsi"/>
          <w:b/>
          <w:bCs/>
        </w:rPr>
        <w:t xml:space="preserve"> 202</w:t>
      </w:r>
      <w:r w:rsidR="00830B56">
        <w:rPr>
          <w:rFonts w:asciiTheme="majorHAns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 r. </w:t>
      </w:r>
      <w:r>
        <w:rPr>
          <w:rFonts w:asciiTheme="majorHAnsi" w:hAnsiTheme="majorHAnsi"/>
          <w:i/>
        </w:rPr>
        <w:t>(</w:t>
      </w:r>
      <w:r w:rsidR="00830B56">
        <w:rPr>
          <w:rFonts w:asciiTheme="majorHAnsi" w:hAnsiTheme="majorHAnsi"/>
          <w:i/>
        </w:rPr>
        <w:t xml:space="preserve">omówienie sposobu realizacji zajęć, warunków zaliczenia; </w:t>
      </w:r>
      <w:r>
        <w:rPr>
          <w:rFonts w:asciiTheme="majorHAnsi" w:hAnsiTheme="majorHAnsi"/>
          <w:i/>
        </w:rPr>
        <w:t>wprowadzenie do tematyki zajęć; zapoznanie z podstawowymi definicjami – pojęcie, geneza, charakter prawny probacji; warunkowe umorze</w:t>
      </w:r>
      <w:r>
        <w:rPr>
          <w:rFonts w:asciiTheme="majorHAnsi" w:hAnsiTheme="majorHAnsi"/>
          <w:i/>
        </w:rPr>
        <w:t>nie postępowania),</w:t>
      </w:r>
    </w:p>
    <w:p w14:paraId="7DD88D4D" w14:textId="2F6FB586" w:rsidR="00051E89" w:rsidRDefault="00ED3E6A">
      <w:pPr>
        <w:shd w:val="clear" w:color="auto" w:fill="FFFFFF"/>
        <w:spacing w:after="0" w:line="360" w:lineRule="auto"/>
        <w:jc w:val="both"/>
      </w:pPr>
      <w:r>
        <w:rPr>
          <w:rFonts w:asciiTheme="majorHAnsi" w:eastAsia="Calibri" w:hAnsiTheme="majorHAnsi"/>
          <w:b/>
          <w:bCs/>
        </w:rPr>
        <w:t>2)</w:t>
      </w:r>
      <w:r>
        <w:rPr>
          <w:rFonts w:asciiTheme="majorHAnsi" w:eastAsia="Calibri" w:hAnsiTheme="majorHAnsi"/>
          <w:b/>
          <w:bCs/>
          <w:i/>
        </w:rPr>
        <w:t xml:space="preserve"> </w:t>
      </w:r>
      <w:r>
        <w:rPr>
          <w:rFonts w:asciiTheme="majorHAnsi" w:eastAsia="Calibri" w:hAnsiTheme="majorHAnsi"/>
          <w:b/>
          <w:bCs/>
        </w:rPr>
        <w:t>2</w:t>
      </w:r>
      <w:r w:rsidR="00830B56">
        <w:rPr>
          <w:rFonts w:asciiTheme="majorHAnsi" w:eastAsia="Calibri" w:hAnsiTheme="majorHAnsi"/>
          <w:b/>
          <w:bCs/>
        </w:rPr>
        <w:t>3</w:t>
      </w:r>
      <w:r>
        <w:rPr>
          <w:rFonts w:asciiTheme="majorHAnsi" w:eastAsia="Calibri" w:hAnsiTheme="majorHAnsi"/>
          <w:b/>
          <w:bCs/>
        </w:rPr>
        <w:t xml:space="preserve"> marca 202</w:t>
      </w:r>
      <w:r w:rsidR="00830B56">
        <w:rPr>
          <w:rFonts w:asciiTheme="majorHAnsi" w:eastAsia="Calibr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 r. </w:t>
      </w:r>
      <w:r>
        <w:rPr>
          <w:rFonts w:asciiTheme="majorHAnsi" w:hAnsiTheme="majorHAnsi"/>
          <w:i/>
        </w:rPr>
        <w:t xml:space="preserve">(omawianie zagadnień związanych z </w:t>
      </w:r>
      <w:r>
        <w:rPr>
          <w:rFonts w:asciiTheme="majorHAnsi" w:eastAsia="Calibri" w:hAnsiTheme="majorHAnsi"/>
          <w:i/>
        </w:rPr>
        <w:t>warunkowym zawieszeniem wykonania kary pozbawienia wolności</w:t>
      </w:r>
      <w:r>
        <w:rPr>
          <w:rFonts w:asciiTheme="majorHAnsi" w:hAnsiTheme="majorHAnsi"/>
          <w:i/>
        </w:rPr>
        <w:t>)</w:t>
      </w:r>
    </w:p>
    <w:p w14:paraId="77B1ADD1" w14:textId="47A04998" w:rsidR="00051E89" w:rsidRDefault="00ED3E6A">
      <w:pPr>
        <w:spacing w:line="360" w:lineRule="auto"/>
        <w:jc w:val="both"/>
      </w:pPr>
      <w:r>
        <w:rPr>
          <w:rFonts w:asciiTheme="majorHAnsi" w:eastAsia="Calibri" w:hAnsiTheme="majorHAnsi"/>
          <w:b/>
          <w:bCs/>
        </w:rPr>
        <w:t xml:space="preserve">3) </w:t>
      </w:r>
      <w:r w:rsidR="00830B56">
        <w:rPr>
          <w:rFonts w:asciiTheme="majorHAnsi" w:eastAsia="Calibri" w:hAnsiTheme="majorHAnsi"/>
          <w:b/>
          <w:bCs/>
        </w:rPr>
        <w:t>20</w:t>
      </w:r>
      <w:r>
        <w:rPr>
          <w:rFonts w:asciiTheme="majorHAnsi" w:eastAsia="Calibri" w:hAnsiTheme="majorHAnsi"/>
          <w:b/>
          <w:bCs/>
        </w:rPr>
        <w:t xml:space="preserve"> kwietnia</w:t>
      </w:r>
      <w:r>
        <w:rPr>
          <w:rFonts w:asciiTheme="majorHAnsi" w:hAnsiTheme="majorHAnsi"/>
          <w:b/>
          <w:bCs/>
        </w:rPr>
        <w:t xml:space="preserve"> 202</w:t>
      </w:r>
      <w:r w:rsidR="00830B56">
        <w:rPr>
          <w:rFonts w:asciiTheme="majorHAns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 r. </w:t>
      </w:r>
      <w:r>
        <w:rPr>
          <w:rFonts w:asciiTheme="majorHAnsi" w:hAnsiTheme="majorHAnsi"/>
          <w:i/>
        </w:rPr>
        <w:t>(omawianie zagadnień związanych z warunkowym przedterminowym zwolnieniem</w:t>
      </w:r>
      <w:r>
        <w:rPr>
          <w:rFonts w:asciiTheme="majorHAnsi" w:hAnsiTheme="majorHAnsi"/>
          <w:i/>
        </w:rPr>
        <w:t xml:space="preserve"> z reszty kary pozbawienia wolności</w:t>
      </w:r>
      <w:r>
        <w:rPr>
          <w:rFonts w:asciiTheme="majorHAnsi" w:eastAsia="Times New Roman" w:hAnsiTheme="majorHAnsi" w:cs="Arial"/>
          <w:i/>
          <w:lang w:eastAsia="pl-PL"/>
        </w:rPr>
        <w:t>);</w:t>
      </w:r>
    </w:p>
    <w:p w14:paraId="76662C06" w14:textId="4C99089E" w:rsidR="00051E89" w:rsidRDefault="00ED3E6A">
      <w:pPr>
        <w:shd w:val="clear" w:color="auto" w:fill="FFFFFF"/>
        <w:spacing w:after="0" w:line="360" w:lineRule="auto"/>
        <w:jc w:val="both"/>
      </w:pPr>
      <w:r>
        <w:rPr>
          <w:rFonts w:asciiTheme="majorHAnsi" w:eastAsia="Calibri" w:hAnsiTheme="majorHAnsi"/>
          <w:b/>
          <w:bCs/>
        </w:rPr>
        <w:t xml:space="preserve">4) </w:t>
      </w:r>
      <w:r w:rsidR="00830B56">
        <w:rPr>
          <w:rFonts w:asciiTheme="majorHAnsi" w:eastAsia="Calibri" w:hAnsiTheme="majorHAnsi"/>
          <w:b/>
          <w:bCs/>
        </w:rPr>
        <w:t>4 maja</w:t>
      </w:r>
      <w:r>
        <w:rPr>
          <w:rFonts w:asciiTheme="majorHAnsi" w:eastAsia="Calibri" w:hAnsiTheme="majorHAnsi"/>
          <w:b/>
          <w:bCs/>
        </w:rPr>
        <w:t xml:space="preserve"> 202</w:t>
      </w:r>
      <w:r w:rsidR="00830B56">
        <w:rPr>
          <w:rFonts w:asciiTheme="majorHAnsi" w:eastAsia="Calibr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 r. </w:t>
      </w:r>
      <w:r>
        <w:rPr>
          <w:rFonts w:asciiTheme="majorHAnsi" w:hAnsiTheme="majorHAnsi"/>
          <w:i/>
        </w:rPr>
        <w:t>(</w:t>
      </w:r>
      <w:r>
        <w:rPr>
          <w:rFonts w:asciiTheme="majorHAnsi" w:eastAsia="Calibri" w:hAnsiTheme="majorHAnsi"/>
          <w:i/>
        </w:rPr>
        <w:t>omawianie zagadnień związanych z dozorem elektronicznym</w:t>
      </w:r>
      <w:r>
        <w:rPr>
          <w:rFonts w:asciiTheme="majorHAnsi" w:hAnsiTheme="majorHAnsi"/>
          <w:i/>
        </w:rPr>
        <w:t>)</w:t>
      </w:r>
    </w:p>
    <w:p w14:paraId="48B3E12F" w14:textId="53E9CC26" w:rsidR="00051E89" w:rsidRDefault="00ED3E6A">
      <w:pPr>
        <w:shd w:val="clear" w:color="auto" w:fill="FFFFFF"/>
        <w:spacing w:after="0" w:line="360" w:lineRule="auto"/>
        <w:jc w:val="both"/>
      </w:pPr>
      <w:r>
        <w:rPr>
          <w:rFonts w:asciiTheme="majorHAnsi" w:hAnsiTheme="majorHAnsi"/>
          <w:b/>
          <w:bCs/>
        </w:rPr>
        <w:t xml:space="preserve">5) </w:t>
      </w:r>
      <w:r w:rsidR="00830B56">
        <w:rPr>
          <w:rFonts w:asciiTheme="majorHAnsi" w:hAnsiTheme="majorHAnsi"/>
          <w:b/>
          <w:bCs/>
        </w:rPr>
        <w:t>18</w:t>
      </w:r>
      <w:r>
        <w:rPr>
          <w:rFonts w:asciiTheme="majorHAnsi" w:hAnsiTheme="majorHAnsi"/>
          <w:b/>
          <w:bCs/>
        </w:rPr>
        <w:t xml:space="preserve"> maja 2020 r.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  <w:iCs/>
        </w:rPr>
        <w:t>(podsumowanie zajęć; kolokwium zaliczeniowe – test; wystawienie ocen końcowych z przedmiotu)</w:t>
      </w:r>
    </w:p>
    <w:p w14:paraId="37D29D6B" w14:textId="77777777" w:rsidR="00051E89" w:rsidRDefault="00051E89">
      <w:pPr>
        <w:shd w:val="clear" w:color="auto" w:fill="FFFFFF"/>
        <w:spacing w:after="0" w:line="360" w:lineRule="auto"/>
        <w:jc w:val="both"/>
        <w:rPr>
          <w:rFonts w:asciiTheme="majorHAnsi" w:hAnsiTheme="majorHAnsi"/>
        </w:rPr>
      </w:pPr>
    </w:p>
    <w:p w14:paraId="25EDE771" w14:textId="77777777" w:rsidR="00051E89" w:rsidRDefault="00ED3E6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II. Zaliczenie zajęć</w:t>
      </w:r>
    </w:p>
    <w:p w14:paraId="32D49E29" w14:textId="77777777" w:rsidR="00051E89" w:rsidRDefault="00ED3E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zaliczenie na ocenę</w:t>
      </w:r>
    </w:p>
    <w:p w14:paraId="21C46902" w14:textId="66245348" w:rsidR="00051E89" w:rsidRDefault="00ED3E6A">
      <w:pPr>
        <w:jc w:val="both"/>
      </w:pPr>
      <w:r>
        <w:rPr>
          <w:rFonts w:asciiTheme="majorHAnsi" w:hAnsiTheme="majorHAnsi"/>
        </w:rPr>
        <w:t xml:space="preserve">- </w:t>
      </w:r>
      <w:r w:rsidRPr="00830B56">
        <w:rPr>
          <w:rFonts w:asciiTheme="majorHAnsi" w:hAnsiTheme="majorHAnsi"/>
        </w:rPr>
        <w:t xml:space="preserve">praca w domu </w:t>
      </w:r>
      <w:r w:rsidR="00830B56">
        <w:rPr>
          <w:rFonts w:asciiTheme="majorHAnsi" w:hAnsiTheme="majorHAnsi"/>
        </w:rPr>
        <w:t>(prace domowe wykonywane w zakreślonym terminie)</w:t>
      </w:r>
    </w:p>
    <w:p w14:paraId="06FD2A9A" w14:textId="77777777" w:rsidR="00051E89" w:rsidRDefault="00ED3E6A">
      <w:pPr>
        <w:jc w:val="both"/>
      </w:pPr>
      <w:r>
        <w:rPr>
          <w:rFonts w:asciiTheme="majorHAnsi" w:hAnsiTheme="majorHAnsi"/>
        </w:rPr>
        <w:t>-  test (max. 20 pytań</w:t>
      </w:r>
      <w:r>
        <w:rPr>
          <w:rFonts w:asciiTheme="majorHAnsi" w:eastAsia="Calibri" w:hAnsiTheme="majorHAnsi"/>
        </w:rPr>
        <w:t>)</w:t>
      </w:r>
    </w:p>
    <w:p w14:paraId="0409A0E4" w14:textId="4FE91A68" w:rsidR="00830B56" w:rsidRDefault="00ED3E6A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* </w:t>
      </w:r>
      <w:r w:rsidR="00830B56">
        <w:rPr>
          <w:rFonts w:asciiTheme="majorHAnsi" w:eastAsia="Calibri" w:hAnsiTheme="majorHAnsi"/>
        </w:rPr>
        <w:t>Ocena końcowa stanowi średnią arytmetyczną ocen z prac domowych oraz oceny z testu, tj:</w:t>
      </w:r>
    </w:p>
    <w:p w14:paraId="7ACC4338" w14:textId="093BA944" w:rsidR="00830B56" w:rsidRDefault="00830B56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- 50 % </w:t>
      </w:r>
      <w:r w:rsidR="00ED3E6A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oceny końcowej -</w:t>
      </w:r>
      <w:r w:rsidR="00ED3E6A">
        <w:rPr>
          <w:rFonts w:asciiTheme="majorHAnsi" w:eastAsia="Calibri" w:hAnsiTheme="majorHAnsi"/>
        </w:rPr>
        <w:t xml:space="preserve"> średnia arytmetyczna </w:t>
      </w:r>
      <w:r w:rsidR="00ED3E6A">
        <w:rPr>
          <w:rFonts w:asciiTheme="majorHAnsi" w:eastAsia="Calibri" w:hAnsiTheme="majorHAnsi"/>
        </w:rPr>
        <w:t>ocen z prac pisemnych</w:t>
      </w:r>
      <w:r>
        <w:rPr>
          <w:rFonts w:asciiTheme="majorHAnsi" w:eastAsia="Calibri" w:hAnsiTheme="majorHAnsi"/>
        </w:rPr>
        <w:t>,</w:t>
      </w:r>
    </w:p>
    <w:p w14:paraId="50D95B29" w14:textId="14373894" w:rsidR="00830B56" w:rsidRDefault="00830B56">
      <w:pPr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- 50 % ocen</w:t>
      </w:r>
      <w:r w:rsidR="00ED3E6A">
        <w:rPr>
          <w:rFonts w:asciiTheme="majorHAnsi" w:eastAsia="Calibri" w:hAnsiTheme="majorHAnsi"/>
        </w:rPr>
        <w:t>y</w:t>
      </w:r>
      <w:r>
        <w:rPr>
          <w:rFonts w:asciiTheme="majorHAnsi" w:eastAsia="Calibri" w:hAnsiTheme="majorHAnsi"/>
        </w:rPr>
        <w:t xml:space="preserve"> z testu.</w:t>
      </w:r>
    </w:p>
    <w:p w14:paraId="45822437" w14:textId="77777777" w:rsidR="00051E89" w:rsidRDefault="00ED3E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III.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Konsultacje</w:t>
      </w:r>
      <w:r>
        <w:rPr>
          <w:rFonts w:asciiTheme="majorHAnsi" w:hAnsiTheme="majorHAnsi"/>
          <w:b/>
        </w:rPr>
        <w:t xml:space="preserve"> </w:t>
      </w:r>
    </w:p>
    <w:p w14:paraId="2CB42CB9" w14:textId="39F6A092" w:rsidR="00051E89" w:rsidRDefault="00ED3E6A">
      <w:pPr>
        <w:jc w:val="both"/>
      </w:pPr>
      <w:r>
        <w:rPr>
          <w:rFonts w:asciiTheme="majorHAnsi" w:hAnsiTheme="majorHAnsi"/>
        </w:rPr>
        <w:t>- wskazane na stronie internetowej Wydziału</w:t>
      </w:r>
      <w:r w:rsidR="00830B56">
        <w:rPr>
          <w:rFonts w:asciiTheme="majorHAnsi" w:hAnsiTheme="majorHAnsi"/>
        </w:rPr>
        <w:t xml:space="preserve"> (za pośrednictwem platformy Teams, wiadomości e-mail, czatu na grupie utworzonej dla przedmiotu na platformie Teams)</w:t>
      </w:r>
    </w:p>
    <w:p w14:paraId="172472E0" w14:textId="77777777" w:rsidR="00051E89" w:rsidRDefault="00ED3E6A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IV. Kontakt</w:t>
      </w:r>
    </w:p>
    <w:p w14:paraId="6C57C1A8" w14:textId="77777777" w:rsidR="00051E89" w:rsidRDefault="00ED3E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za pośrednictwem poczty elektronicznej (adres wskazany na stronie internetowej) lub na konsultacjach (harmono</w:t>
      </w:r>
      <w:r>
        <w:rPr>
          <w:rFonts w:asciiTheme="majorHAnsi" w:hAnsiTheme="majorHAnsi"/>
        </w:rPr>
        <w:t>gram wskazany na stronie)</w:t>
      </w:r>
    </w:p>
    <w:p w14:paraId="7DAD3267" w14:textId="77777777" w:rsidR="00051E89" w:rsidRDefault="00ED3E6A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V. Obecność na zajęciach</w:t>
      </w:r>
    </w:p>
    <w:p w14:paraId="5B61DF54" w14:textId="31061DC5" w:rsidR="00A17665" w:rsidRPr="00ED3E6A" w:rsidRDefault="00A17665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D3E6A">
        <w:rPr>
          <w:rFonts w:asciiTheme="majorHAnsi" w:hAnsiTheme="majorHAnsi"/>
          <w:sz w:val="22"/>
          <w:szCs w:val="22"/>
        </w:rPr>
        <w:lastRenderedPageBreak/>
        <w:t xml:space="preserve">1) </w:t>
      </w:r>
      <w:r w:rsidRPr="00ED3E6A">
        <w:rPr>
          <w:rFonts w:asciiTheme="majorHAnsi" w:hAnsiTheme="majorHAnsi"/>
          <w:sz w:val="22"/>
          <w:szCs w:val="22"/>
        </w:rPr>
        <w:t>KOMUNIKAT Dziekana Wydziału Prawa, Administracji i Ekonomii Uniwersytetu Wrocławskiego z dnia 1 lutego 2021 r. w sprawie organizacji dydaktyki na WPAE w semestrze letnim roku akademickiego 2020/2021</w:t>
      </w:r>
    </w:p>
    <w:p w14:paraId="52B0CD81" w14:textId="77777777" w:rsidR="00ED3E6A" w:rsidRDefault="00ED3E6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34233C5" w14:textId="76E68CD6" w:rsidR="00051E89" w:rsidRPr="00A17665" w:rsidRDefault="00ED3E6A">
      <w:pPr>
        <w:pStyle w:val="Default"/>
        <w:spacing w:line="276" w:lineRule="auto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2) </w:t>
      </w:r>
      <w:r w:rsidR="00A17665" w:rsidRPr="00A17665">
        <w:rPr>
          <w:rFonts w:asciiTheme="majorHAnsi" w:hAnsiTheme="majorHAnsi"/>
          <w:sz w:val="22"/>
          <w:szCs w:val="22"/>
        </w:rPr>
        <w:t>Komunikat Dziekana Wydziału Prawa, Administracji i Ekonomii Uniwersytetu Wrocławskiego z dnia 14 września 2020 r. w sprawie zasad prowadzenia zajęć dydaktycznych na Wydziale Prawa, Administracji i Ekonomii UWr, w semestrze zimowym roku akademickiego 2020/2021</w:t>
      </w:r>
    </w:p>
    <w:p w14:paraId="4C186E52" w14:textId="77777777" w:rsidR="00A17665" w:rsidRDefault="00A17665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DC8CCF8" w14:textId="3CA975C9" w:rsidR="00051E89" w:rsidRDefault="00ED3E6A">
      <w:pPr>
        <w:pStyle w:val="Default"/>
        <w:spacing w:line="276" w:lineRule="auto"/>
        <w:jc w:val="both"/>
        <w:rPr>
          <w:b/>
          <w:bCs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VI. Literatura</w:t>
      </w:r>
    </w:p>
    <w:p w14:paraId="6B6C115B" w14:textId="77777777" w:rsidR="00051E89" w:rsidRDefault="00051E89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BE2CEA7" w14:textId="77777777" w:rsidR="00051E89" w:rsidRDefault="00ED3E6A">
      <w:pPr>
        <w:pStyle w:val="Default"/>
        <w:spacing w:line="276" w:lineRule="auto"/>
        <w:jc w:val="both"/>
        <w:rPr>
          <w:b/>
          <w:bCs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a) Literatura podstawowa: </w:t>
      </w:r>
    </w:p>
    <w:p w14:paraId="371E9ED5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Przestępca na uwięzi. Elektroniczny monitoring sprawców przestępstw</w:t>
      </w:r>
      <w:r>
        <w:rPr>
          <w:rFonts w:asciiTheme="majorHAnsi" w:hAnsiTheme="majorHAnsi"/>
          <w:sz w:val="22"/>
          <w:szCs w:val="22"/>
        </w:rPr>
        <w:t xml:space="preserve">, P.Moczydłowski, . Warszawa 2006 </w:t>
      </w:r>
    </w:p>
    <w:p w14:paraId="2CC013C4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Warunkowe zwolnienie z reszty k</w:t>
      </w:r>
      <w:r>
        <w:rPr>
          <w:rFonts w:asciiTheme="majorHAnsi" w:hAnsiTheme="majorHAnsi"/>
          <w:i/>
          <w:iCs/>
          <w:sz w:val="22"/>
          <w:szCs w:val="22"/>
        </w:rPr>
        <w:t>ary pozbawienia wolności</w:t>
      </w:r>
      <w:r>
        <w:rPr>
          <w:rFonts w:asciiTheme="majorHAnsi" w:hAnsiTheme="majorHAnsi"/>
          <w:sz w:val="22"/>
          <w:szCs w:val="22"/>
        </w:rPr>
        <w:t xml:space="preserve">, J. Lachowski, . Warszawa 2010 </w:t>
      </w:r>
    </w:p>
    <w:p w14:paraId="5FC31D7E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Prawo karne materialne. Część ogólna i szczególna</w:t>
      </w:r>
      <w:r>
        <w:rPr>
          <w:rFonts w:asciiTheme="majorHAnsi" w:hAnsiTheme="majorHAnsi"/>
          <w:sz w:val="22"/>
          <w:szCs w:val="22"/>
        </w:rPr>
        <w:t xml:space="preserve">, M.Bojarski, J.Giezek, Z.Sienkiewicz, . Warszawa  2012 </w:t>
      </w:r>
    </w:p>
    <w:p w14:paraId="5B4F5C10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0E8BC43B" w14:textId="77777777" w:rsidR="00051E89" w:rsidRDefault="00ED3E6A">
      <w:pPr>
        <w:pStyle w:val="Default"/>
        <w:spacing w:line="276" w:lineRule="auto"/>
        <w:jc w:val="both"/>
        <w:rPr>
          <w:b/>
          <w:bCs/>
        </w:rPr>
      </w:pPr>
      <w:r>
        <w:rPr>
          <w:rFonts w:asciiTheme="majorHAnsi" w:hAnsiTheme="majorHAnsi"/>
          <w:b/>
          <w:bCs/>
          <w:sz w:val="22"/>
          <w:szCs w:val="22"/>
        </w:rPr>
        <w:t>b) Literatura uzupełniająca:</w:t>
      </w:r>
    </w:p>
    <w:p w14:paraId="22F3CCEC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Probacja w systemie prawa karnego wykonawczego</w:t>
      </w:r>
      <w:r>
        <w:rPr>
          <w:rFonts w:asciiTheme="majorHAnsi" w:hAnsiTheme="majorHAnsi"/>
          <w:sz w:val="22"/>
          <w:szCs w:val="22"/>
        </w:rPr>
        <w:t>, red. L. Bo</w:t>
      </w:r>
      <w:r>
        <w:rPr>
          <w:rFonts w:asciiTheme="majorHAnsi" w:hAnsiTheme="majorHAnsi"/>
          <w:sz w:val="22"/>
          <w:szCs w:val="22"/>
        </w:rPr>
        <w:t>gunia, . Wrocław  1999</w:t>
      </w:r>
    </w:p>
    <w:p w14:paraId="7E094A21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Probacja. Resocjalizacja z udziałem społeczeństwa</w:t>
      </w:r>
      <w:r>
        <w:rPr>
          <w:rFonts w:asciiTheme="majorHAnsi" w:hAnsiTheme="majorHAnsi"/>
          <w:sz w:val="22"/>
          <w:szCs w:val="22"/>
        </w:rPr>
        <w:t>, 2.wydanie, A.Bałandynowicz,, Warszawa 2011</w:t>
      </w:r>
    </w:p>
    <w:p w14:paraId="456DD05F" w14:textId="77777777" w:rsidR="00051E89" w:rsidRDefault="00ED3E6A">
      <w:pPr>
        <w:pStyle w:val="Default"/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i/>
          <w:iCs/>
          <w:sz w:val="22"/>
          <w:szCs w:val="22"/>
        </w:rPr>
        <w:t>Warunkowe zawieszenie wykonania kary w systemie środków probacyjnych i jego efektywność</w:t>
      </w:r>
      <w:r>
        <w:rPr>
          <w:rFonts w:asciiTheme="majorHAnsi" w:hAnsiTheme="majorHAnsi"/>
          <w:sz w:val="22"/>
          <w:szCs w:val="22"/>
        </w:rPr>
        <w:t xml:space="preserve">, A.Kordik, . Wrocław  1998 </w:t>
      </w:r>
    </w:p>
    <w:p w14:paraId="20DF9412" w14:textId="77777777" w:rsidR="00051E89" w:rsidRDefault="00051E89">
      <w:pPr>
        <w:pStyle w:val="Default"/>
        <w:spacing w:line="276" w:lineRule="auto"/>
        <w:jc w:val="both"/>
      </w:pPr>
    </w:p>
    <w:sectPr w:rsidR="00051E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89"/>
    <w:rsid w:val="00051E89"/>
    <w:rsid w:val="00830B56"/>
    <w:rsid w:val="00A17665"/>
    <w:rsid w:val="00E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AE38"/>
  <w15:docId w15:val="{1CC0C6BD-DDC9-421C-AF5F-0A62F7D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98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C4981"/>
    <w:rPr>
      <w:color w:val="0000FF"/>
      <w:u w:val="single"/>
    </w:rPr>
  </w:style>
  <w:style w:type="character" w:customStyle="1" w:styleId="wrtext">
    <w:name w:val="wrtext"/>
    <w:basedOn w:val="Domylnaczcionkaakapitu"/>
    <w:qFormat/>
    <w:rsid w:val="00AC498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4981"/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osweb.uni.wroc.pl/kontroler.php?_action=katalog2/przedmioty/pokazPrzedmiot&amp;kod=23-AD-S2-S1-APSKW-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dc:description/>
  <cp:lastModifiedBy>mizu4toon@gmail.com</cp:lastModifiedBy>
  <cp:revision>3</cp:revision>
  <dcterms:created xsi:type="dcterms:W3CDTF">2021-03-08T08:50:00Z</dcterms:created>
  <dcterms:modified xsi:type="dcterms:W3CDTF">2021-03-08T09:02:00Z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