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308F" w14:textId="2E7EE3BA" w:rsidR="2945E565" w:rsidRDefault="2945E565" w:rsidP="2945E565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2945E565">
        <w:rPr>
          <w:rFonts w:ascii="Calibri" w:eastAsia="Calibri" w:hAnsi="Calibri" w:cs="Calibri"/>
          <w:b/>
          <w:bCs/>
          <w:sz w:val="28"/>
          <w:szCs w:val="28"/>
        </w:rPr>
        <w:t xml:space="preserve">PRAWO KONSTYTUCYJNE - I ROK SNP </w:t>
      </w:r>
    </w:p>
    <w:p w14:paraId="14E78834" w14:textId="3F807430" w:rsidR="2945E565" w:rsidRDefault="2945E565" w:rsidP="2945E565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2945E565">
        <w:rPr>
          <w:rFonts w:ascii="Calibri" w:eastAsia="Calibri" w:hAnsi="Calibri" w:cs="Calibri"/>
          <w:b/>
          <w:bCs/>
          <w:sz w:val="28"/>
          <w:szCs w:val="28"/>
        </w:rPr>
        <w:t>PYTANIA/ZAGADNIENIA EGZAMINACYJNE - 20</w:t>
      </w:r>
      <w:r w:rsidR="00AC4866">
        <w:rPr>
          <w:rFonts w:ascii="Calibri" w:eastAsia="Calibri" w:hAnsi="Calibri" w:cs="Calibri"/>
          <w:b/>
          <w:bCs/>
          <w:sz w:val="28"/>
          <w:szCs w:val="28"/>
        </w:rPr>
        <w:t>19</w:t>
      </w:r>
      <w:r w:rsidRPr="2945E565">
        <w:rPr>
          <w:rFonts w:ascii="Calibri" w:eastAsia="Calibri" w:hAnsi="Calibri" w:cs="Calibri"/>
          <w:b/>
          <w:bCs/>
          <w:sz w:val="28"/>
          <w:szCs w:val="28"/>
        </w:rPr>
        <w:t>/20</w:t>
      </w:r>
      <w:r w:rsidR="00AC4866">
        <w:rPr>
          <w:rFonts w:ascii="Calibri" w:eastAsia="Calibri" w:hAnsi="Calibri" w:cs="Calibri"/>
          <w:b/>
          <w:bCs/>
          <w:sz w:val="28"/>
          <w:szCs w:val="28"/>
        </w:rPr>
        <w:t>20</w:t>
      </w:r>
      <w:r w:rsidRPr="2945E56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5BD531C8" w14:textId="3F67BAAF" w:rsidR="2945E565" w:rsidRDefault="2945E565" w:rsidP="2945E565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13DBAC8" w14:textId="162FE33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1. Typologia konstytucji (pojęcie, kryteria, przykłady)  </w:t>
      </w:r>
    </w:p>
    <w:p w14:paraId="285D2FAE" w14:textId="3ADE259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2. Miejsce prawa konstytucyjnego w systemie prawa i jego promieniowanie na inne gałęzie prawa na przykładzie Konstytucji RP z 2 kwietnia 1997 r. 1 </w:t>
      </w:r>
    </w:p>
    <w:p w14:paraId="558274D2" w14:textId="5E53ADE1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3. Idee konstytucjonalizmu w państwach demokratycznych i niedemokratycznych </w:t>
      </w:r>
    </w:p>
    <w:p w14:paraId="287DD066" w14:textId="78444E0D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4. Normatywne, nominalne i semantyczne rozumienie postanowień konstytucji.  </w:t>
      </w:r>
    </w:p>
    <w:p w14:paraId="28D4D827" w14:textId="7B483162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5. Uchwalanie a zmiana Konstytucji RP z 2 kwietnia 1997 r. </w:t>
      </w:r>
    </w:p>
    <w:p w14:paraId="4EBDDD16" w14:textId="1C312CA2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6. Częstotliwość zmian konstytucji  </w:t>
      </w:r>
    </w:p>
    <w:p w14:paraId="08DFD2D0" w14:textId="496DE99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7. Odrębności postępowania z projektem ustawy i ustawą o zmianie Konstytucji RP </w:t>
      </w:r>
    </w:p>
    <w:p w14:paraId="76744B73" w14:textId="3B04AFF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8. Kwestia dopuszczalności rozszerzenia przedmiotowego zakresu projektu ustawy o zmianie Konstytucji RP w trakcie prac nad projektem </w:t>
      </w:r>
    </w:p>
    <w:p w14:paraId="507352C3" w14:textId="57798DE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9. Dopuszczalność kontroli konstytucyjności ustawy o zmianie Konstytucji RP </w:t>
      </w:r>
    </w:p>
    <w:p w14:paraId="0776FAEE" w14:textId="18F71FFF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10. Gwarancje ustrojowe stabilności Konstytucji RP a normy niezmiennie i relatywnie niezmienne </w:t>
      </w:r>
    </w:p>
    <w:p w14:paraId="48150727" w14:textId="7A445773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11. Wpływ członkostwa w Unii Europejskiej na treść konstytucji </w:t>
      </w:r>
    </w:p>
    <w:p w14:paraId="081D65E2" w14:textId="11B8324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12. Cechy szczególne konstytucji na przykładzie Konstytucji RP  </w:t>
      </w:r>
    </w:p>
    <w:p w14:paraId="2B962049" w14:textId="7E44CA00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13. Ewolucja zawartości treściowej konstytucji. Generacje konstytucji </w:t>
      </w:r>
    </w:p>
    <w:p w14:paraId="39F0A177" w14:textId="3A3B6974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14. Metody interpretacji konstytucji w orzecznictwie Trybunału Konstytucyjnego  </w:t>
      </w:r>
    </w:p>
    <w:p w14:paraId="44E9F3D0" w14:textId="449005C4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15. Charakter wstępów do konstytucji na przykładzie Konstytucji RP i wybranych państw UE </w:t>
      </w:r>
    </w:p>
    <w:p w14:paraId="007FE805" w14:textId="4002EA7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16. Normy konstytucji w teorii prawa oraz polskiej praktyce konstytucyjnej </w:t>
      </w:r>
    </w:p>
    <w:p w14:paraId="5F0F9CAB" w14:textId="2D4B9B2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17. Pojęcie zasad ustroju politycznego i gospodarczego RP </w:t>
      </w:r>
    </w:p>
    <w:p w14:paraId="502EE1AA" w14:textId="43E73CAC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18. Państwo polskie jako dobro wspólne </w:t>
      </w:r>
    </w:p>
    <w:p w14:paraId="41394301" w14:textId="1CCC12D3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19. Zasada demokratycznego państwa prawnego w Konstytucji RP (geneza, aspekt materialny i formalny) </w:t>
      </w:r>
    </w:p>
    <w:p w14:paraId="4CCE1400" w14:textId="0A833DEC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20. Zasada legalizmu. Zasada praworządności formalnej  </w:t>
      </w:r>
    </w:p>
    <w:p w14:paraId="4AED299D" w14:textId="2504F4D1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21. Zasady prawidłowej legislacji w orzecznictwie Trybunału Konstytucyjnego </w:t>
      </w:r>
    </w:p>
    <w:p w14:paraId="442D251C" w14:textId="29CB83A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22. Zasada zwierzchnictwa narodu </w:t>
      </w:r>
    </w:p>
    <w:p w14:paraId="44F8790B" w14:textId="13C3731D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23. Suwerenność narodowa a suwerenność państwowa </w:t>
      </w:r>
    </w:p>
    <w:p w14:paraId="15F935A4" w14:textId="6813A81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24. Suwerenność państwa a procesy globalizacji integracji  </w:t>
      </w:r>
    </w:p>
    <w:p w14:paraId="0BC409BA" w14:textId="500DA854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25. Zasada podziału i równowagi władz w teorii i praktyce konstytucyjnej RP. </w:t>
      </w:r>
    </w:p>
    <w:p w14:paraId="77AE7C5D" w14:textId="46960879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26. Zasada republikańskiej formy państwa </w:t>
      </w:r>
    </w:p>
    <w:p w14:paraId="63428FB9" w14:textId="73CAE103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27. Koncepcja społeczeństwa obywatelskiego w Konstytucji RP </w:t>
      </w:r>
    </w:p>
    <w:p w14:paraId="53665861" w14:textId="6E532093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28. Geneza sądowej kontroli konstytucyjności prawa. Model amerykański i europejski </w:t>
      </w:r>
    </w:p>
    <w:p w14:paraId="58A657B5" w14:textId="41AC5352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29. Pojęcie bezpośredniego stosowania konstytucji w polskim prawie konstytucyjnym </w:t>
      </w:r>
    </w:p>
    <w:p w14:paraId="5B533BA6" w14:textId="43CBEEEF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30. Wykładnia ustaw w zgodzie z konstytucją i jej granice </w:t>
      </w:r>
    </w:p>
    <w:p w14:paraId="207AD1F7" w14:textId="77B2AF96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31. Konstytucja RP na tle koncepcji prawa </w:t>
      </w:r>
    </w:p>
    <w:p w14:paraId="125FA004" w14:textId="5B137C9D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32. Prawo międzynarodowe w świetle Konstytucji RP (pojęcie, źródła, warunki obowiązywania) </w:t>
      </w:r>
    </w:p>
    <w:p w14:paraId="358AB40A" w14:textId="73950944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33. Elementy monistycznej oraz dualistycznej teorii relacji norm prawa krajowego i międzynarodowego w Konstytucji RP </w:t>
      </w:r>
    </w:p>
    <w:p w14:paraId="3EF4F69A" w14:textId="227738B2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34. Rodzaje umów międzynarodowych w świetle Konstytucji RP i ustawy o umowach międzynarodowych </w:t>
      </w:r>
    </w:p>
    <w:p w14:paraId="44102C78" w14:textId="26227295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35. Źródła prawa Unii Europejskiej. Obowiązywanie, wykładnia i metodyka rozstrzygania kolizji norm w świetle Konstytucji RP  </w:t>
      </w:r>
    </w:p>
    <w:p w14:paraId="5860AD23" w14:textId="370766FD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36. Koncepcja </w:t>
      </w:r>
      <w:proofErr w:type="spellStart"/>
      <w:r w:rsidRPr="2945E565">
        <w:rPr>
          <w:rFonts w:ascii="Times New Roman" w:eastAsia="Times New Roman" w:hAnsi="Times New Roman" w:cs="Times New Roman"/>
          <w:sz w:val="24"/>
          <w:szCs w:val="24"/>
        </w:rPr>
        <w:t>multicentryczności</w:t>
      </w:r>
      <w:proofErr w:type="spellEnd"/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 systemu prawa w polskiej doktrynie i praktyce konstytucyjnej  </w:t>
      </w:r>
    </w:p>
    <w:p w14:paraId="5D932FC7" w14:textId="6D670228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37. Konstytucyjne i ustawowe zasady promulgacji źródeł prawa powszechnie obowiązującego </w:t>
      </w:r>
    </w:p>
    <w:p w14:paraId="31A05D6B" w14:textId="6C5BB67F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38. Pojęcie zamkniętego i otwartego systemu źródeł prawa w Konstytucji RP </w:t>
      </w:r>
    </w:p>
    <w:p w14:paraId="5CBB5D30" w14:textId="41028216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39. Kontrowersyjne źródła prawa na tle paradygmatu dualnego charakteru źródeł prawa </w:t>
      </w:r>
    </w:p>
    <w:p w14:paraId="3A3FAA28" w14:textId="2551EA9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40. Pojęcie i cechy ustawy w Polsce </w:t>
      </w:r>
    </w:p>
    <w:p w14:paraId="4C6AA7E6" w14:textId="0FC98F0D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41. Cechy szczególne polskiej ustawy budżetowej </w:t>
      </w:r>
    </w:p>
    <w:p w14:paraId="04E48310" w14:textId="7E16D671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42. Pojęcie, rodzaje i cechy rozporządzenia w Konstytucji RP </w:t>
      </w:r>
    </w:p>
    <w:p w14:paraId="304B8719" w14:textId="1E0A6116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43. Ustawowe upoważnienie do wydania rozporządzenia – pojęcie, zasady konstrukcyjne i granice swobody ustawodawcy   </w:t>
      </w:r>
    </w:p>
    <w:p w14:paraId="1B860111" w14:textId="73BDC63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44. Zasada absolutnej wyłączności ustawy  </w:t>
      </w:r>
    </w:p>
    <w:p w14:paraId="53E74E5C" w14:textId="1033F99F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45. Klasyfikacja wolności i praw jednostki w Konstytucji RP </w:t>
      </w:r>
    </w:p>
    <w:p w14:paraId="5EADF6E8" w14:textId="24138C6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46. Zasady przewodnie konstytucyjnej regulacji praw oraz wolności człowieka i obywatela </w:t>
      </w:r>
    </w:p>
    <w:p w14:paraId="06BC1C20" w14:textId="0B1C95B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47. Klasyfikacja wolności i praw jednostki w Konstytucji RP </w:t>
      </w:r>
    </w:p>
    <w:p w14:paraId="2A8D0663" w14:textId="55F51886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48. Pojęcie publicznych praw podmiotowych w świetle Konstytucji RP </w:t>
      </w:r>
    </w:p>
    <w:p w14:paraId="4D7D7612" w14:textId="52E5BD2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49. Obywatelstwo polskie jako przesłanka realizacji konstytucyjnych praw i wolności </w:t>
      </w:r>
    </w:p>
    <w:p w14:paraId="2070A848" w14:textId="2ADB318D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50. Pojęcie i formy horyzontalnego działania praw i wolności konstytucyjnych </w:t>
      </w:r>
    </w:p>
    <w:p w14:paraId="5488C70D" w14:textId="12133169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51. Zasady oraz przesłanki ograniczania wolności i praw człowieka (zasada proporcjonalności oraz zakaz naruszania istoty wolności i prawa). </w:t>
      </w:r>
    </w:p>
    <w:p w14:paraId="59B8BD88" w14:textId="593E6866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52. Prawa i wolności osobiste </w:t>
      </w:r>
    </w:p>
    <w:p w14:paraId="79654137" w14:textId="760E9A36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>53. Elementy treści prawa do sądu i ich gwarancje konstytucyjne</w:t>
      </w:r>
    </w:p>
    <w:p w14:paraId="60699A07" w14:textId="5BDFFF1A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54. Prawa i wolności polityczne </w:t>
      </w:r>
    </w:p>
    <w:p w14:paraId="44A9C5AD" w14:textId="48EC3178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55. Parytety i kwoty płci a zasada równości wyborów </w:t>
      </w:r>
    </w:p>
    <w:p w14:paraId="73A1E097" w14:textId="550BD138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56. Prawa i wolności ekonomiczne, socjalne i kulturalne jako podstawa skargi konstytucyjnej </w:t>
      </w:r>
    </w:p>
    <w:p w14:paraId="59778410" w14:textId="70BF515F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57. Obowiązki konstytucyjne </w:t>
      </w:r>
    </w:p>
    <w:p w14:paraId="631B8938" w14:textId="378DA9EF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58. System środków ochrony praw i wolności jednostki w Konstytucji RP </w:t>
      </w:r>
    </w:p>
    <w:p w14:paraId="14779E94" w14:textId="5529C2F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59. Zakres przedmiotowy skargi konstytucyjnej w Konstytucji RP </w:t>
      </w:r>
    </w:p>
    <w:p w14:paraId="656ACEF5" w14:textId="1610981B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60. Skarga konstytucyjna na pominięcia prawodawcze  </w:t>
      </w:r>
    </w:p>
    <w:p w14:paraId="346C81D5" w14:textId="698E71A0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61. Przywilej korzyści skarżącego w orzecznictwie Trybunału Konstytucyjnego  </w:t>
      </w:r>
    </w:p>
    <w:p w14:paraId="1A50999F" w14:textId="25F167C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62. Zdolność skargowa w świetle orzecznictwa Trybunału Konstytucyjnego  </w:t>
      </w:r>
    </w:p>
    <w:p w14:paraId="6C48DFC0" w14:textId="354A92B9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63. Przesłanki procesowe dopuszczalności skargi konstytucyjnej </w:t>
      </w:r>
    </w:p>
    <w:p w14:paraId="22F4EC21" w14:textId="6BD6889B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64. Skarga konstytucyjna jako środek akcesoryjny  </w:t>
      </w:r>
    </w:p>
    <w:p w14:paraId="1C59CB47" w14:textId="55086484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65. Wyczerpanie drogi prawnej jako przesłanka skorzystania ze skargi konstytucyjnej w polskim porządku prawnym </w:t>
      </w:r>
    </w:p>
    <w:p w14:paraId="7F412DE1" w14:textId="3BAEA1EF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66. Skutki wyroku TK wydanego w trybie skargi konstytucyjnej </w:t>
      </w:r>
    </w:p>
    <w:p w14:paraId="217EF1DE" w14:textId="60A02E36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67. Skarga konstytucyjna a skarga do </w:t>
      </w:r>
      <w:proofErr w:type="spellStart"/>
      <w:r w:rsidRPr="2945E565">
        <w:rPr>
          <w:rFonts w:ascii="Times New Roman" w:eastAsia="Times New Roman" w:hAnsi="Times New Roman" w:cs="Times New Roman"/>
          <w:sz w:val="24"/>
          <w:szCs w:val="24"/>
        </w:rPr>
        <w:t>ETPCz</w:t>
      </w:r>
      <w:proofErr w:type="spellEnd"/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FB170B" w14:textId="3E39AF25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68. Prawo wystąpienia do Rzecznika Praw Obywatelskich i Rzecznika Praw Dziecka </w:t>
      </w:r>
    </w:p>
    <w:p w14:paraId="2002384D" w14:textId="7FFC9EE3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69. </w:t>
      </w:r>
      <w:proofErr w:type="spellStart"/>
      <w:r w:rsidRPr="2945E565">
        <w:rPr>
          <w:rFonts w:ascii="Times New Roman" w:eastAsia="Times New Roman" w:hAnsi="Times New Roman" w:cs="Times New Roman"/>
          <w:sz w:val="24"/>
          <w:szCs w:val="24"/>
        </w:rPr>
        <w:t>Pozakonstytucyjne</w:t>
      </w:r>
      <w:proofErr w:type="spellEnd"/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 środki, organy oraz mechanizmy ochrony praw i wolności jednostki RP </w:t>
      </w:r>
    </w:p>
    <w:p w14:paraId="13C28CB2" w14:textId="76261A92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70. Referendum w prawie polskim </w:t>
      </w:r>
    </w:p>
    <w:p w14:paraId="532FF941" w14:textId="765DF711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71. Obywatelska inicjatywa ustawodawcza </w:t>
      </w:r>
    </w:p>
    <w:p w14:paraId="751BC484" w14:textId="7229F594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72. Konstytucyjny organ państwa a centralny organ państwowy w rozumieniu art. 188 punkt 3 Konstytucji RP </w:t>
      </w:r>
    </w:p>
    <w:p w14:paraId="25E51136" w14:textId="5BE57060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73. Systemy rządów (pojęcie i podstawowa typologia współczesnego prawa konstytucyjnego) </w:t>
      </w:r>
    </w:p>
    <w:p w14:paraId="5DBCF361" w14:textId="41EA9919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74. System rządów i jego konkretyzacja w Konstytucji RP </w:t>
      </w:r>
    </w:p>
    <w:p w14:paraId="5EFC18F2" w14:textId="1069913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75. Pojęcie oraz warunki sine qua non demokracji  </w:t>
      </w:r>
    </w:p>
    <w:p w14:paraId="26613523" w14:textId="7904360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76. Elementy demokracji parlamentarnej w Konstytucji RP z 2 kwietnia 1997 r. </w:t>
      </w:r>
    </w:p>
    <w:p w14:paraId="42179757" w14:textId="6BF65EC3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77. Precedens, konwenans i prawo zwyczajowe w polskim prawie konstytucyjnym </w:t>
      </w:r>
    </w:p>
    <w:p w14:paraId="4932E4BB" w14:textId="77777777" w:rsidR="00AC4866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78. Autonomia formalna i materialna parlamentu  </w:t>
      </w:r>
    </w:p>
    <w:p w14:paraId="581D352D" w14:textId="0587E398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79. Funkcje władzy ustawodawczej </w:t>
      </w:r>
    </w:p>
    <w:p w14:paraId="1133E5CF" w14:textId="14D1D389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80. Funkcja europejska Sejmu i Senatu  </w:t>
      </w:r>
    </w:p>
    <w:p w14:paraId="7931DFF3" w14:textId="4B6CF7A1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81. Kadencja parlamentu w Konstytucji RP (pojęcie i zasady obliczania biegu) </w:t>
      </w:r>
    </w:p>
    <w:p w14:paraId="2B76C91F" w14:textId="13E20CA8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82. Etapy postępowania ustawodawczego w przepisach konstytucyjnych i regulaminowych </w:t>
      </w:r>
    </w:p>
    <w:p w14:paraId="35CD26B6" w14:textId="4EF1CDA1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83. Jawność procesu ustawodawczego </w:t>
      </w:r>
    </w:p>
    <w:p w14:paraId="07D84426" w14:textId="7CD2026C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84. Notyfikacja przepisów technicznych w procesie stanowienia prawa krajowego  </w:t>
      </w:r>
    </w:p>
    <w:p w14:paraId="3F37AC1B" w14:textId="31C1286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85. Pojęcie "szerokości" i "głębokości" poprawek do projektu ustawy lub ustawy w orzecznictwie Trybunału Konstytucyjnego </w:t>
      </w:r>
    </w:p>
    <w:p w14:paraId="04982A3E" w14:textId="3C83FE56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86. Respektowanie zasad prawidłowej legislacji w praktyce funkcjonowania polskiego parlamentu </w:t>
      </w:r>
    </w:p>
    <w:p w14:paraId="322FF552" w14:textId="022950D8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87. Tryb postępowania w sprawie weta ustawodawczego prezydenta RP  </w:t>
      </w:r>
    </w:p>
    <w:p w14:paraId="0BDB18C3" w14:textId="5E0D3811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88. Procedura wyrażania zgody na ratyfikację umowy międzynarodowej, w drodze której Rzeczpospolita Polska przekazuje organizacji międzynarodowej (lub organowi międzynarodowemu) kompetencje organów władzy w niektórych sprawach </w:t>
      </w:r>
    </w:p>
    <w:p w14:paraId="0CF6AB24" w14:textId="3BBF618E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89. Zasada dyskontynuacji prac polskiego parlamentu oraz wyjątki od niej </w:t>
      </w:r>
    </w:p>
    <w:p w14:paraId="079BE396" w14:textId="53FB3773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90. Prawo posła (senatora) do interwencji </w:t>
      </w:r>
    </w:p>
    <w:p w14:paraId="258F6A5A" w14:textId="77777777" w:rsidR="00AC4866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91. Immunitet parlamentarny </w:t>
      </w:r>
    </w:p>
    <w:p w14:paraId="482D2914" w14:textId="3DF61BA5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92. Organy kolegialne Sejmu i Senatu </w:t>
      </w:r>
    </w:p>
    <w:p w14:paraId="3392359E" w14:textId="3C3C13CC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>93. Pozycja Marszałka Sejmu w strukturze organów Sejmu</w:t>
      </w:r>
    </w:p>
    <w:p w14:paraId="35EA74B2" w14:textId="2DAC226B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94. Specyfika śledczej komisji sejmowej oraz jej uprawnienia  </w:t>
      </w:r>
    </w:p>
    <w:p w14:paraId="76F1C22E" w14:textId="00678C84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95. Ustrojowa pozycja Zgromadzenia Narodowego </w:t>
      </w:r>
    </w:p>
    <w:p w14:paraId="0C98FE81" w14:textId="6CACE6E1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96. Zasady prawa wyborczego  </w:t>
      </w:r>
    </w:p>
    <w:p w14:paraId="73E49179" w14:textId="382ADB32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97. Ustalenie wyników głosowania i wyborów w RP </w:t>
      </w:r>
    </w:p>
    <w:p w14:paraId="3ED0B9A4" w14:textId="187D8AD8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98. Ważność wyborów ogólnokrajowych i lokalnych  </w:t>
      </w:r>
    </w:p>
    <w:p w14:paraId="4A286ECD" w14:textId="08599CE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99. Wpływ progów wyborczych na równość materialną wyborów </w:t>
      </w:r>
    </w:p>
    <w:p w14:paraId="1B958C37" w14:textId="436D9024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100. Funkcje głowy państwa w RP w świetle art. 126 Konstytucji RP </w:t>
      </w:r>
    </w:p>
    <w:p w14:paraId="3477DE71" w14:textId="337F1DAB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101. Kompetencje Prezydenta RP </w:t>
      </w:r>
    </w:p>
    <w:p w14:paraId="68957257" w14:textId="22A96C4B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102. Udział Prezydenta RP w procedurze ustawodawczej </w:t>
      </w:r>
    </w:p>
    <w:p w14:paraId="6D211C8F" w14:textId="2506E9B8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103. Procedura powoływania Rady Ministrów </w:t>
      </w:r>
    </w:p>
    <w:p w14:paraId="4594969B" w14:textId="540F8B4F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104. Tzw. pozorne zmiany w składzie Rady Ministrów </w:t>
      </w:r>
    </w:p>
    <w:p w14:paraId="0D5E0426" w14:textId="1DC777AA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105. Kompetencje Rady Ministrów </w:t>
      </w:r>
    </w:p>
    <w:p w14:paraId="4709BD53" w14:textId="6F8A49E9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106. Odpowiedzialność polityczna członków Rady Ministrów </w:t>
      </w:r>
    </w:p>
    <w:p w14:paraId="007C9D70" w14:textId="2D5D0770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107. Uprawnienia kontrolne Sejmu wobec Rady Ministrów i jej członków </w:t>
      </w:r>
    </w:p>
    <w:p w14:paraId="7D398FD0" w14:textId="4BC30A62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108. Dopuszczalność kontroli konstytucyjności aktów prawa miejscowego przez Trybunał Konstytucyjny </w:t>
      </w:r>
    </w:p>
    <w:p w14:paraId="7AB0B73B" w14:textId="6FB236B0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109. Zasada samodzielności samorządu terytorialnego w Konstytucji RP </w:t>
      </w:r>
    </w:p>
    <w:p w14:paraId="0B8A0766" w14:textId="27F26DEB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110. Nadzór nad samorządem terytorialnym </w:t>
      </w:r>
    </w:p>
    <w:p w14:paraId="44D39C5D" w14:textId="6A6E71B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111. Pojęcie władzy sądowniczej i wymiaru sprawiedliwości </w:t>
      </w:r>
    </w:p>
    <w:p w14:paraId="61B96A20" w14:textId="1B437A24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112. Ustrój sądów w RP </w:t>
      </w:r>
    </w:p>
    <w:p w14:paraId="6843FF5E" w14:textId="78C76E65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113. SN a NSA </w:t>
      </w:r>
    </w:p>
    <w:p w14:paraId="4CB81790" w14:textId="75A6666F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114. Ustrój i kompetencje Sądu Najwyższego </w:t>
      </w:r>
    </w:p>
    <w:p w14:paraId="3CA289F4" w14:textId="6EC99DF4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115. Rola sądów w ramach procedur wyborczych </w:t>
      </w:r>
    </w:p>
    <w:p w14:paraId="2EF793B5" w14:textId="7BC3E669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116. Konstytucyjne zasady wymiaru sprawiedliwości </w:t>
      </w:r>
    </w:p>
    <w:p w14:paraId="3A4575EA" w14:textId="6BF44142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117. Krajowa Rada Sądownictwa  </w:t>
      </w:r>
    </w:p>
    <w:p w14:paraId="182D7FB2" w14:textId="09EFB745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118. Gwarancje niezależności sędziowskiej a gwarancje niezależności prokuratorskiej </w:t>
      </w:r>
    </w:p>
    <w:p w14:paraId="60D82B0E" w14:textId="37E15270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119. Prokuratura i jej ustrój </w:t>
      </w:r>
    </w:p>
    <w:p w14:paraId="6E66EFCA" w14:textId="45F8C27B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120. Zawody zaufania publicznego i ich konstytucyjne gwarancje </w:t>
      </w:r>
    </w:p>
    <w:p w14:paraId="5B62D844" w14:textId="7DC932B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121. Pojęcie partii politycznej i systemu partyjnego </w:t>
      </w:r>
    </w:p>
    <w:p w14:paraId="176C49EB" w14:textId="0E6EDCEA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122. Tryb wyboru sędziów Trybunału Konstytucyjnego </w:t>
      </w:r>
    </w:p>
    <w:p w14:paraId="16039EE6" w14:textId="0CB3C0A2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123. Zakres kontroli konstytucyjności i legalności aktów normatywnych w świetle Konstytucji RP </w:t>
      </w:r>
    </w:p>
    <w:p w14:paraId="3DB02481" w14:textId="69C161F0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124. Kontrola konstytucyjności prawa pochodnego UE w Polsce  </w:t>
      </w:r>
    </w:p>
    <w:p w14:paraId="41A3B884" w14:textId="2ABE70E9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125. Uchwała Sejmu jako przedmiot kontroli Trybunału Konstytucyjnego  </w:t>
      </w:r>
    </w:p>
    <w:p w14:paraId="5A04D7D0" w14:textId="61976876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126. Pytania prawne sądów do Trybunału Konstytucyjnego  </w:t>
      </w:r>
    </w:p>
    <w:p w14:paraId="365D9F04" w14:textId="25C65907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127. Charakter i skutki orzeczeń Trybunału Konstytucyjnego </w:t>
      </w:r>
    </w:p>
    <w:p w14:paraId="72958FA9" w14:textId="25C020DB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128. Wyroki interpretacyjne, zakresowe i aplikacyjne Trybunału Konstytucyjnego </w:t>
      </w:r>
    </w:p>
    <w:p w14:paraId="6E14B800" w14:textId="57972E2F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129. Wykonywanie orzeczeń Trybunału Konstytucyjnego w Polsce – zakres podmiotowy i przedmiotowy  </w:t>
      </w:r>
    </w:p>
    <w:p w14:paraId="323074EE" w14:textId="3C8014E1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130. Zasada kolegialności działania NIK </w:t>
      </w:r>
    </w:p>
    <w:p w14:paraId="0A8C3BC4" w14:textId="3153DAF5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131. </w:t>
      </w:r>
      <w:r w:rsidR="00976BEC">
        <w:rPr>
          <w:rFonts w:ascii="Times New Roman" w:eastAsia="Times New Roman" w:hAnsi="Times New Roman" w:cs="Times New Roman"/>
          <w:sz w:val="24"/>
          <w:szCs w:val="24"/>
        </w:rPr>
        <w:t xml:space="preserve">Rzecznik Praw Obywatelskich a </w:t>
      </w: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Rzecznik Praw Dziecka i </w:t>
      </w:r>
      <w:r w:rsidR="00976BEC">
        <w:rPr>
          <w:rFonts w:ascii="Times New Roman" w:eastAsia="Times New Roman" w:hAnsi="Times New Roman" w:cs="Times New Roman"/>
          <w:sz w:val="24"/>
          <w:szCs w:val="24"/>
        </w:rPr>
        <w:t>ich</w:t>
      </w: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 kompetencje </w:t>
      </w:r>
    </w:p>
    <w:p w14:paraId="7903D436" w14:textId="34EE9F78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132. Krajowa Rada Radiofonii i Telewizji - skład i kompetencje </w:t>
      </w:r>
    </w:p>
    <w:p w14:paraId="762F26E7" w14:textId="490927BC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133. Stany nadzwyczajne w RP </w:t>
      </w:r>
    </w:p>
    <w:p w14:paraId="5F66B58D" w14:textId="5965E342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134. Zakres i przesłanki dopuszczalności ograniczania wolności i praw jednostki w stanach nadzwyczajnych  </w:t>
      </w:r>
    </w:p>
    <w:p w14:paraId="33B00AA6" w14:textId="3BE0C3A7" w:rsidR="2945E565" w:rsidRPr="009F007F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135. Pozycja ustrojowa NBP oraz kwestia uprawnień prawodawczych organów NBP </w:t>
      </w:r>
    </w:p>
    <w:p w14:paraId="2D7B8470" w14:textId="427ED948" w:rsidR="2945E565" w:rsidRDefault="2945E565" w:rsidP="2945E565">
      <w:pPr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>Zasady zaliczenia przedmiotu Prawo Konstytucyjne:</w:t>
      </w:r>
    </w:p>
    <w:p w14:paraId="241AA3AA" w14:textId="1365607B" w:rsidR="2945E565" w:rsidRDefault="2945E565" w:rsidP="2945E56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>Po uzyskaniu zaliczenia z ćwiczeń - widocznego w systemie USOS lub potwierdzonego pisemnie przez osobę prowadzącą ćwiczenia - należy zdobyć ocenę pozytywną w ramach egzaminu.</w:t>
      </w:r>
    </w:p>
    <w:p w14:paraId="3D76A5EB" w14:textId="7903B474" w:rsidR="2945E565" w:rsidRDefault="2945E565" w:rsidP="2945E56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>Egzamin pisemny obejmował będzie odpowiedzi na 3 pytania - mogą być one dosłownym powtórzeniem znajdujących się powyżej pytań/zagadnień egzaminacyjnych lub obejmować węższy zakres tematyczny (w ramach zadanego na egzaminie pytania może się zatem pojawić część pytania/zagadnienia z listy</w:t>
      </w:r>
      <w:r w:rsidR="00976B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 ale nie jest przewidywana sytuacja, w której łączono by zagadnienia treściowe z dwu lub większej ilości pytań/ zagadnień).</w:t>
      </w:r>
    </w:p>
    <w:p w14:paraId="176A8562" w14:textId="29BD3667" w:rsidR="2945E565" w:rsidRDefault="2945E565" w:rsidP="2945E56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Każde pytanie ocenione będzie w skali od 0 do 3 punktów. </w:t>
      </w:r>
    </w:p>
    <w:p w14:paraId="138C1C65" w14:textId="5C763E4B" w:rsidR="2945E565" w:rsidRDefault="2945E565" w:rsidP="2945E56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Student powinien sformułować odpowiedź na wszystkie pytania za pomocą języka prawnego, prawniczego, unikając języka potocznego, kolokwializmów, wulgaryzmów, itp. - maksymalna punktacja za wszystkie odpowiedzi to łącznie 2 punkty. </w:t>
      </w:r>
    </w:p>
    <w:p w14:paraId="6BBE83A3" w14:textId="7FC6E29E" w:rsidR="2945E565" w:rsidRDefault="2945E565" w:rsidP="2945E56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>Ocenę dostateczną można uzyskać otrzymując łącznie co najmniej 5,5 punktu.</w:t>
      </w:r>
    </w:p>
    <w:p w14:paraId="1094D0CA" w14:textId="77777777" w:rsidR="00976BEC" w:rsidRPr="00976BEC" w:rsidRDefault="2945E565" w:rsidP="00976B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Pytania lub wątpliwości dotyczące zakresu i sposobu przeprowadzania egzaminu proszę zgłaszać w trakcie dyżurów. Zachęcamy jednak do klarowania wątpliwości merytorycznych na ćwiczeniach lub konsultacjach osób prowadzących Wasze grupy ćwiczeniowe. </w:t>
      </w:r>
    </w:p>
    <w:p w14:paraId="6C043CF9" w14:textId="77777777" w:rsidR="00976BEC" w:rsidRPr="00976BEC" w:rsidRDefault="00976BEC" w:rsidP="00976BEC">
      <w:pPr>
        <w:pStyle w:val="Akapitzlist"/>
        <w:jc w:val="both"/>
        <w:rPr>
          <w:sz w:val="24"/>
          <w:szCs w:val="24"/>
        </w:rPr>
      </w:pPr>
    </w:p>
    <w:p w14:paraId="02FA959D" w14:textId="3B6A0C58" w:rsidR="00976BEC" w:rsidRPr="009F007F" w:rsidRDefault="00976BEC" w:rsidP="009F007F">
      <w:pPr>
        <w:pStyle w:val="Akapitzli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07F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niemożności przeprowadzenia egzaminu w wskazanej wyżej formie</w:t>
      </w:r>
      <w:r w:rsidR="009F007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F0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uwagi na utrzymanie ograniczeń związanych z gromadzeniem się</w:t>
      </w:r>
      <w:r w:rsidR="009F0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lub zawieszeniem zajęć,</w:t>
      </w:r>
      <w:r w:rsidRPr="009F0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egzamin odbędzie się w oparciu o następujące zasady:</w:t>
      </w:r>
    </w:p>
    <w:p w14:paraId="24B63621" w14:textId="7D4765C7" w:rsidR="00976BEC" w:rsidRDefault="00976BEC" w:rsidP="00976BE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25063" w14:textId="5E644CE0" w:rsidR="009F007F" w:rsidRPr="009F007F" w:rsidRDefault="00976BEC" w:rsidP="009F007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Dla osób, które po uzyskaniu zaliczenia z ćwiczeń zgłoszą gotowość do przystąpienia do egzaminu </w:t>
      </w:r>
      <w:r w:rsidR="009F007F">
        <w:rPr>
          <w:rFonts w:ascii="Times New Roman" w:eastAsia="Times New Roman" w:hAnsi="Times New Roman" w:cs="Times New Roman"/>
          <w:sz w:val="24"/>
          <w:szCs w:val="24"/>
        </w:rPr>
        <w:t xml:space="preserve">ustnego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zorganizowane będą spotkania wirtualne (przy wykorzystaniu platformy używanej przez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pozwalające na zorganizowanie wideokonferencji</w:t>
      </w:r>
      <w:r w:rsidR="00A72002">
        <w:rPr>
          <w:rFonts w:ascii="Times New Roman" w:eastAsia="Times New Roman" w:hAnsi="Times New Roman" w:cs="Times New Roman"/>
          <w:sz w:val="24"/>
          <w:szCs w:val="24"/>
        </w:rPr>
        <w:t>, w trakcie której student zobligowany będzie do udzielenia odpowiedzi na trzy, zadane przez egzaminatora, pytania</w:t>
      </w:r>
      <w:r w:rsidR="009F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07F" w:rsidRPr="2945E565">
        <w:rPr>
          <w:rFonts w:ascii="Times New Roman" w:eastAsia="Times New Roman" w:hAnsi="Times New Roman" w:cs="Times New Roman"/>
          <w:sz w:val="24"/>
          <w:szCs w:val="24"/>
        </w:rPr>
        <w:t>(w ramach zadanego na egzaminie pytania może się pojawić część pytania/zagadnienia z listy</w:t>
      </w:r>
      <w:r w:rsidR="009F00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007F" w:rsidRPr="2945E565">
        <w:rPr>
          <w:rFonts w:ascii="Times New Roman" w:eastAsia="Times New Roman" w:hAnsi="Times New Roman" w:cs="Times New Roman"/>
          <w:sz w:val="24"/>
          <w:szCs w:val="24"/>
        </w:rPr>
        <w:t xml:space="preserve"> ale nie jest przewidywana sytuacja, w której łączono by zagadnienia treściowe z dwu lub większej ilości pytań/ zagadnień).</w:t>
      </w:r>
    </w:p>
    <w:p w14:paraId="26713894" w14:textId="70521EE9" w:rsidR="009F007F" w:rsidRDefault="00A72002" w:rsidP="00976B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F007F">
        <w:rPr>
          <w:rFonts w:ascii="Times New Roman" w:eastAsia="Times New Roman" w:hAnsi="Times New Roman" w:cs="Times New Roman"/>
          <w:sz w:val="24"/>
          <w:szCs w:val="24"/>
        </w:rPr>
        <w:t xml:space="preserve">Dla osób, które nie zgłoszą chęci przystąpienia do egzaminu ustnego zorganizowany zostanie, w terminach wskazanych przez dziekanat, egzamin w formie testu, przeprowadzonego z wykorzystaniem narzędzi </w:t>
      </w:r>
      <w:r w:rsidRPr="009F007F">
        <w:rPr>
          <w:rFonts w:ascii="Times New Roman" w:eastAsia="Times New Roman" w:hAnsi="Times New Roman" w:cs="Times New Roman"/>
          <w:sz w:val="24"/>
          <w:szCs w:val="24"/>
        </w:rPr>
        <w:t xml:space="preserve">używanych przez </w:t>
      </w:r>
      <w:proofErr w:type="spellStart"/>
      <w:r w:rsidRPr="009F007F">
        <w:rPr>
          <w:rFonts w:ascii="Times New Roman" w:eastAsia="Times New Roman" w:hAnsi="Times New Roman" w:cs="Times New Roman"/>
          <w:sz w:val="24"/>
          <w:szCs w:val="24"/>
        </w:rPr>
        <w:t>UWr</w:t>
      </w:r>
      <w:proofErr w:type="spellEnd"/>
      <w:r w:rsidRPr="009F007F">
        <w:rPr>
          <w:rFonts w:ascii="Times New Roman" w:eastAsia="Times New Roman" w:hAnsi="Times New Roman" w:cs="Times New Roman"/>
          <w:sz w:val="24"/>
          <w:szCs w:val="24"/>
        </w:rPr>
        <w:t xml:space="preserve">, pozwalających na przeprowadzenie go przez </w:t>
      </w:r>
      <w:proofErr w:type="spellStart"/>
      <w:r w:rsidRPr="009F007F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9F007F">
        <w:rPr>
          <w:rFonts w:ascii="Times New Roman" w:eastAsia="Times New Roman" w:hAnsi="Times New Roman" w:cs="Times New Roman"/>
          <w:sz w:val="24"/>
          <w:szCs w:val="24"/>
        </w:rPr>
        <w:t xml:space="preserve">. W ramach testu zadanych zostanie 60 pytań z kilkoma wariantami odpowiedzi, z których </w:t>
      </w:r>
      <w:r w:rsidR="00861B0B">
        <w:rPr>
          <w:rFonts w:ascii="Times New Roman" w:eastAsia="Times New Roman" w:hAnsi="Times New Roman" w:cs="Times New Roman"/>
          <w:sz w:val="24"/>
          <w:szCs w:val="24"/>
        </w:rPr>
        <w:t>należy wybrać</w:t>
      </w:r>
      <w:r w:rsidRPr="009F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B0B">
        <w:rPr>
          <w:rFonts w:ascii="Times New Roman" w:eastAsia="Times New Roman" w:hAnsi="Times New Roman" w:cs="Times New Roman"/>
          <w:sz w:val="24"/>
          <w:szCs w:val="24"/>
        </w:rPr>
        <w:t xml:space="preserve">tą </w:t>
      </w:r>
      <w:r w:rsidR="009F007F">
        <w:rPr>
          <w:rFonts w:ascii="Times New Roman" w:eastAsia="Times New Roman" w:hAnsi="Times New Roman" w:cs="Times New Roman"/>
          <w:sz w:val="24"/>
          <w:szCs w:val="24"/>
        </w:rPr>
        <w:t>najpełniej</w:t>
      </w:r>
      <w:r w:rsidR="00861B0B">
        <w:rPr>
          <w:rFonts w:ascii="Times New Roman" w:eastAsia="Times New Roman" w:hAnsi="Times New Roman" w:cs="Times New Roman"/>
          <w:sz w:val="24"/>
          <w:szCs w:val="24"/>
        </w:rPr>
        <w:t>szą</w:t>
      </w:r>
      <w:r w:rsidRPr="009F00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73AE1B" w14:textId="26FF544E" w:rsidR="00A72002" w:rsidRPr="009F007F" w:rsidRDefault="00A72002" w:rsidP="00976B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F007F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="009F007F" w:rsidRPr="009F007F">
        <w:rPr>
          <w:rFonts w:ascii="Times New Roman" w:eastAsia="Times New Roman" w:hAnsi="Times New Roman" w:cs="Times New Roman"/>
          <w:sz w:val="24"/>
          <w:szCs w:val="24"/>
        </w:rPr>
        <w:t>egzaminu</w:t>
      </w:r>
      <w:r w:rsidRPr="009F007F">
        <w:rPr>
          <w:rFonts w:ascii="Times New Roman" w:eastAsia="Times New Roman" w:hAnsi="Times New Roman" w:cs="Times New Roman"/>
          <w:sz w:val="24"/>
          <w:szCs w:val="24"/>
        </w:rPr>
        <w:t xml:space="preserve"> ustne</w:t>
      </w:r>
      <w:r w:rsidR="009F007F" w:rsidRPr="009F007F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9F007F">
        <w:rPr>
          <w:rFonts w:ascii="Times New Roman" w:eastAsia="Times New Roman" w:hAnsi="Times New Roman" w:cs="Times New Roman"/>
          <w:sz w:val="24"/>
          <w:szCs w:val="24"/>
        </w:rPr>
        <w:t xml:space="preserve"> należy udzielić odpowiedzi na wszystkie pytania</w:t>
      </w:r>
      <w:r w:rsidR="009F007F" w:rsidRPr="009F007F">
        <w:rPr>
          <w:rFonts w:ascii="Times New Roman" w:eastAsia="Times New Roman" w:hAnsi="Times New Roman" w:cs="Times New Roman"/>
          <w:sz w:val="24"/>
          <w:szCs w:val="24"/>
        </w:rPr>
        <w:t xml:space="preserve"> (wartość punktowa każdego z nich to 0-3) a łączna suma punktów koniecznych do uzyskania oceny pozytywnej to 5,5 pkt. </w:t>
      </w:r>
    </w:p>
    <w:p w14:paraId="26DC98B8" w14:textId="37F919DC" w:rsidR="00976BEC" w:rsidRPr="00861B0B" w:rsidRDefault="009F007F" w:rsidP="00861B0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F007F">
        <w:rPr>
          <w:rFonts w:ascii="Times New Roman" w:eastAsia="Times New Roman" w:hAnsi="Times New Roman" w:cs="Times New Roman"/>
          <w:sz w:val="24"/>
          <w:szCs w:val="24"/>
        </w:rPr>
        <w:t xml:space="preserve">W przypadku testu każde pytanie ma wartość 0/1 a </w:t>
      </w:r>
      <w:r w:rsidRPr="009F007F">
        <w:rPr>
          <w:rFonts w:ascii="Times New Roman" w:eastAsia="Times New Roman" w:hAnsi="Times New Roman" w:cs="Times New Roman"/>
          <w:sz w:val="24"/>
          <w:szCs w:val="24"/>
        </w:rPr>
        <w:t>łączna suma punktów koniecznych do uzyskania oceny pozytywnej to</w:t>
      </w:r>
      <w:r w:rsidRPr="009F007F">
        <w:rPr>
          <w:rFonts w:ascii="Times New Roman" w:eastAsia="Times New Roman" w:hAnsi="Times New Roman" w:cs="Times New Roman"/>
          <w:sz w:val="24"/>
          <w:szCs w:val="24"/>
        </w:rPr>
        <w:t xml:space="preserve"> 31 pkt</w:t>
      </w:r>
      <w:r w:rsidR="00861B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99ED95" w14:textId="6A61E017" w:rsidR="2945E565" w:rsidRDefault="2945E565" w:rsidP="2945E565">
      <w:pPr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>Egzaminatorzy</w:t>
      </w:r>
    </w:p>
    <w:p w14:paraId="156DA329" w14:textId="5D6D70FE" w:rsidR="2945E565" w:rsidRDefault="2945E565" w:rsidP="2945E565">
      <w:pPr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Katedra Prawa Konstytucyjnego </w:t>
      </w:r>
      <w:proofErr w:type="spellStart"/>
      <w:r w:rsidRPr="2945E565">
        <w:rPr>
          <w:rFonts w:ascii="Times New Roman" w:eastAsia="Times New Roman" w:hAnsi="Times New Roman" w:cs="Times New Roman"/>
          <w:sz w:val="24"/>
          <w:szCs w:val="24"/>
        </w:rPr>
        <w:t>WPAiE</w:t>
      </w:r>
      <w:proofErr w:type="spellEnd"/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945E565">
        <w:rPr>
          <w:rFonts w:ascii="Times New Roman" w:eastAsia="Times New Roman" w:hAnsi="Times New Roman" w:cs="Times New Roman"/>
          <w:sz w:val="24"/>
          <w:szCs w:val="24"/>
        </w:rPr>
        <w:t>UWr</w:t>
      </w:r>
      <w:proofErr w:type="spellEnd"/>
      <w:r w:rsidRPr="2945E5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2945E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030C"/>
    <w:multiLevelType w:val="hybridMultilevel"/>
    <w:tmpl w:val="3DAA18AC"/>
    <w:lvl w:ilvl="0" w:tplc="E7B0F3FA">
      <w:start w:val="1"/>
      <w:numFmt w:val="decimal"/>
      <w:lvlText w:val="%1."/>
      <w:lvlJc w:val="left"/>
      <w:pPr>
        <w:ind w:left="720" w:hanging="360"/>
      </w:pPr>
    </w:lvl>
    <w:lvl w:ilvl="1" w:tplc="86F86B2E">
      <w:start w:val="1"/>
      <w:numFmt w:val="lowerLetter"/>
      <w:lvlText w:val="%2."/>
      <w:lvlJc w:val="left"/>
      <w:pPr>
        <w:ind w:left="1440" w:hanging="360"/>
      </w:pPr>
    </w:lvl>
    <w:lvl w:ilvl="2" w:tplc="4D3EAE8A">
      <w:start w:val="1"/>
      <w:numFmt w:val="lowerRoman"/>
      <w:lvlText w:val="%3."/>
      <w:lvlJc w:val="right"/>
      <w:pPr>
        <w:ind w:left="2160" w:hanging="180"/>
      </w:pPr>
    </w:lvl>
    <w:lvl w:ilvl="3" w:tplc="5EC873CA">
      <w:start w:val="1"/>
      <w:numFmt w:val="decimal"/>
      <w:lvlText w:val="%4."/>
      <w:lvlJc w:val="left"/>
      <w:pPr>
        <w:ind w:left="2880" w:hanging="360"/>
      </w:pPr>
    </w:lvl>
    <w:lvl w:ilvl="4" w:tplc="9B3A933C">
      <w:start w:val="1"/>
      <w:numFmt w:val="lowerLetter"/>
      <w:lvlText w:val="%5."/>
      <w:lvlJc w:val="left"/>
      <w:pPr>
        <w:ind w:left="3600" w:hanging="360"/>
      </w:pPr>
    </w:lvl>
    <w:lvl w:ilvl="5" w:tplc="D94E13DE">
      <w:start w:val="1"/>
      <w:numFmt w:val="lowerRoman"/>
      <w:lvlText w:val="%6."/>
      <w:lvlJc w:val="right"/>
      <w:pPr>
        <w:ind w:left="4320" w:hanging="180"/>
      </w:pPr>
    </w:lvl>
    <w:lvl w:ilvl="6" w:tplc="AE4E70D2">
      <w:start w:val="1"/>
      <w:numFmt w:val="decimal"/>
      <w:lvlText w:val="%7."/>
      <w:lvlJc w:val="left"/>
      <w:pPr>
        <w:ind w:left="5040" w:hanging="360"/>
      </w:pPr>
    </w:lvl>
    <w:lvl w:ilvl="7" w:tplc="A63AA04C">
      <w:start w:val="1"/>
      <w:numFmt w:val="lowerLetter"/>
      <w:lvlText w:val="%8."/>
      <w:lvlJc w:val="left"/>
      <w:pPr>
        <w:ind w:left="5760" w:hanging="360"/>
      </w:pPr>
    </w:lvl>
    <w:lvl w:ilvl="8" w:tplc="ED928D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3423"/>
    <w:multiLevelType w:val="hybridMultilevel"/>
    <w:tmpl w:val="E1122F12"/>
    <w:lvl w:ilvl="0" w:tplc="35F45016">
      <w:start w:val="1"/>
      <w:numFmt w:val="decimal"/>
      <w:lvlText w:val="%1."/>
      <w:lvlJc w:val="left"/>
      <w:pPr>
        <w:ind w:left="720" w:hanging="360"/>
      </w:pPr>
    </w:lvl>
    <w:lvl w:ilvl="1" w:tplc="C472C3AC">
      <w:start w:val="1"/>
      <w:numFmt w:val="lowerLetter"/>
      <w:lvlText w:val="%2."/>
      <w:lvlJc w:val="left"/>
      <w:pPr>
        <w:ind w:left="1440" w:hanging="360"/>
      </w:pPr>
    </w:lvl>
    <w:lvl w:ilvl="2" w:tplc="36886996">
      <w:start w:val="1"/>
      <w:numFmt w:val="lowerRoman"/>
      <w:lvlText w:val="%3."/>
      <w:lvlJc w:val="right"/>
      <w:pPr>
        <w:ind w:left="2160" w:hanging="180"/>
      </w:pPr>
    </w:lvl>
    <w:lvl w:ilvl="3" w:tplc="0C1CECAC">
      <w:start w:val="1"/>
      <w:numFmt w:val="decimal"/>
      <w:lvlText w:val="%4."/>
      <w:lvlJc w:val="left"/>
      <w:pPr>
        <w:ind w:left="2880" w:hanging="360"/>
      </w:pPr>
    </w:lvl>
    <w:lvl w:ilvl="4" w:tplc="287EBA9E">
      <w:start w:val="1"/>
      <w:numFmt w:val="lowerLetter"/>
      <w:lvlText w:val="%5."/>
      <w:lvlJc w:val="left"/>
      <w:pPr>
        <w:ind w:left="3600" w:hanging="360"/>
      </w:pPr>
    </w:lvl>
    <w:lvl w:ilvl="5" w:tplc="DD6ABD24">
      <w:start w:val="1"/>
      <w:numFmt w:val="lowerRoman"/>
      <w:lvlText w:val="%6."/>
      <w:lvlJc w:val="right"/>
      <w:pPr>
        <w:ind w:left="4320" w:hanging="180"/>
      </w:pPr>
    </w:lvl>
    <w:lvl w:ilvl="6" w:tplc="C7BE781E">
      <w:start w:val="1"/>
      <w:numFmt w:val="decimal"/>
      <w:lvlText w:val="%7."/>
      <w:lvlJc w:val="left"/>
      <w:pPr>
        <w:ind w:left="5040" w:hanging="360"/>
      </w:pPr>
    </w:lvl>
    <w:lvl w:ilvl="7" w:tplc="AE3A7740">
      <w:start w:val="1"/>
      <w:numFmt w:val="lowerLetter"/>
      <w:lvlText w:val="%8."/>
      <w:lvlJc w:val="left"/>
      <w:pPr>
        <w:ind w:left="5760" w:hanging="360"/>
      </w:pPr>
    </w:lvl>
    <w:lvl w:ilvl="8" w:tplc="347257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7548B"/>
    <w:multiLevelType w:val="hybridMultilevel"/>
    <w:tmpl w:val="6212E546"/>
    <w:lvl w:ilvl="0" w:tplc="57BC46B0">
      <w:start w:val="1"/>
      <w:numFmt w:val="decimal"/>
      <w:lvlText w:val="%1."/>
      <w:lvlJc w:val="left"/>
      <w:pPr>
        <w:ind w:left="720" w:hanging="360"/>
      </w:pPr>
    </w:lvl>
    <w:lvl w:ilvl="1" w:tplc="5F223178">
      <w:start w:val="1"/>
      <w:numFmt w:val="lowerLetter"/>
      <w:lvlText w:val="%2."/>
      <w:lvlJc w:val="left"/>
      <w:pPr>
        <w:ind w:left="1440" w:hanging="360"/>
      </w:pPr>
    </w:lvl>
    <w:lvl w:ilvl="2" w:tplc="0FC44190">
      <w:start w:val="1"/>
      <w:numFmt w:val="lowerRoman"/>
      <w:lvlText w:val="%3."/>
      <w:lvlJc w:val="right"/>
      <w:pPr>
        <w:ind w:left="2160" w:hanging="180"/>
      </w:pPr>
    </w:lvl>
    <w:lvl w:ilvl="3" w:tplc="9946B594">
      <w:start w:val="1"/>
      <w:numFmt w:val="decimal"/>
      <w:lvlText w:val="%4."/>
      <w:lvlJc w:val="left"/>
      <w:pPr>
        <w:ind w:left="2880" w:hanging="360"/>
      </w:pPr>
    </w:lvl>
    <w:lvl w:ilvl="4" w:tplc="836E72B6">
      <w:start w:val="1"/>
      <w:numFmt w:val="lowerLetter"/>
      <w:lvlText w:val="%5."/>
      <w:lvlJc w:val="left"/>
      <w:pPr>
        <w:ind w:left="3600" w:hanging="360"/>
      </w:pPr>
    </w:lvl>
    <w:lvl w:ilvl="5" w:tplc="4E0E04C6">
      <w:start w:val="1"/>
      <w:numFmt w:val="lowerRoman"/>
      <w:lvlText w:val="%6."/>
      <w:lvlJc w:val="right"/>
      <w:pPr>
        <w:ind w:left="4320" w:hanging="180"/>
      </w:pPr>
    </w:lvl>
    <w:lvl w:ilvl="6" w:tplc="604CB952">
      <w:start w:val="1"/>
      <w:numFmt w:val="decimal"/>
      <w:lvlText w:val="%7."/>
      <w:lvlJc w:val="left"/>
      <w:pPr>
        <w:ind w:left="5040" w:hanging="360"/>
      </w:pPr>
    </w:lvl>
    <w:lvl w:ilvl="7" w:tplc="F604C1E6">
      <w:start w:val="1"/>
      <w:numFmt w:val="lowerLetter"/>
      <w:lvlText w:val="%8."/>
      <w:lvlJc w:val="left"/>
      <w:pPr>
        <w:ind w:left="5760" w:hanging="360"/>
      </w:pPr>
    </w:lvl>
    <w:lvl w:ilvl="8" w:tplc="346EC8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B72CC6"/>
    <w:rsid w:val="00861B0B"/>
    <w:rsid w:val="00976BEC"/>
    <w:rsid w:val="009F007F"/>
    <w:rsid w:val="00A72002"/>
    <w:rsid w:val="00AC4866"/>
    <w:rsid w:val="2945E565"/>
    <w:rsid w:val="63B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2CC6"/>
  <w15:chartTrackingRefBased/>
  <w15:docId w15:val="{DCECCE25-90DB-4F13-96C3-B73384C9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1712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Wygoda</dc:creator>
  <cp:keywords/>
  <dc:description/>
  <cp:lastModifiedBy>Tomasz Radziszewski</cp:lastModifiedBy>
  <cp:revision>2</cp:revision>
  <dcterms:created xsi:type="dcterms:W3CDTF">2020-04-19T09:16:00Z</dcterms:created>
  <dcterms:modified xsi:type="dcterms:W3CDTF">2020-04-19T09:16:00Z</dcterms:modified>
</cp:coreProperties>
</file>