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885" w:rsidRDefault="00BB44C8"/>
    <w:p w:rsidR="00023FE7" w:rsidRDefault="00BB44C8" w:rsidP="00023FE7">
      <w:pPr>
        <w:jc w:val="center"/>
        <w:rPr>
          <w:b/>
          <w:sz w:val="28"/>
          <w:szCs w:val="28"/>
          <w:lang w:val="en-GB"/>
        </w:rPr>
      </w:pPr>
      <w:r>
        <w:rPr>
          <w:b/>
          <w:sz w:val="28"/>
          <w:szCs w:val="28"/>
          <w:lang w:val="en-GB"/>
        </w:rPr>
        <w:t>ERASMUS+ 2014/15</w:t>
      </w:r>
      <w:bookmarkStart w:id="0" w:name="_GoBack"/>
      <w:bookmarkEnd w:id="0"/>
    </w:p>
    <w:p w:rsidR="00023FE7" w:rsidRDefault="00023FE7" w:rsidP="00023FE7">
      <w:pPr>
        <w:jc w:val="center"/>
        <w:rPr>
          <w:b/>
          <w:lang w:val="en-GB"/>
        </w:rPr>
      </w:pPr>
    </w:p>
    <w:p w:rsidR="00023FE7" w:rsidRDefault="00023FE7" w:rsidP="00023FE7">
      <w:pPr>
        <w:rPr>
          <w:b/>
          <w:color w:val="0000FF"/>
          <w:lang w:val="en-GB"/>
        </w:rPr>
      </w:pPr>
      <w:r>
        <w:rPr>
          <w:b/>
          <w:color w:val="0000FF"/>
          <w:lang w:val="en-GB"/>
        </w:rPr>
        <w:t xml:space="preserve">                                                 Structural Funds Management</w:t>
      </w:r>
    </w:p>
    <w:p w:rsidR="00023FE7" w:rsidRDefault="00023FE7" w:rsidP="00023FE7">
      <w:pPr>
        <w:jc w:val="center"/>
        <w:rPr>
          <w:lang w:val="en-GB"/>
        </w:rPr>
      </w:pPr>
      <w:r>
        <w:rPr>
          <w:lang w:val="en-GB"/>
        </w:rPr>
        <w:t>Course Syllabus</w:t>
      </w:r>
    </w:p>
    <w:p w:rsidR="00023FE7" w:rsidRDefault="00023FE7" w:rsidP="00023FE7">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9"/>
        <w:gridCol w:w="7673"/>
      </w:tblGrid>
      <w:tr w:rsidR="00023FE7" w:rsidRPr="00BB44C8" w:rsidTr="00023FE7">
        <w:tc>
          <w:tcPr>
            <w:tcW w:w="2628" w:type="dxa"/>
            <w:tcBorders>
              <w:top w:val="single" w:sz="4" w:space="0" w:color="auto"/>
              <w:left w:val="single" w:sz="4" w:space="0" w:color="auto"/>
              <w:bottom w:val="single" w:sz="4" w:space="0" w:color="auto"/>
              <w:right w:val="single" w:sz="4" w:space="0" w:color="auto"/>
            </w:tcBorders>
            <w:hideMark/>
          </w:tcPr>
          <w:p w:rsidR="00023FE7" w:rsidRDefault="00023FE7">
            <w:pPr>
              <w:spacing w:line="256" w:lineRule="auto"/>
              <w:rPr>
                <w:lang w:val="en-GB" w:eastAsia="en-US"/>
              </w:rPr>
            </w:pPr>
            <w:r>
              <w:rPr>
                <w:lang w:val="en-GB" w:eastAsia="en-US"/>
              </w:rPr>
              <w:t>1. Name of the course</w:t>
            </w:r>
          </w:p>
        </w:tc>
        <w:tc>
          <w:tcPr>
            <w:tcW w:w="6584" w:type="dxa"/>
            <w:tcBorders>
              <w:top w:val="single" w:sz="4" w:space="0" w:color="auto"/>
              <w:left w:val="single" w:sz="4" w:space="0" w:color="auto"/>
              <w:bottom w:val="single" w:sz="4" w:space="0" w:color="auto"/>
              <w:right w:val="single" w:sz="4" w:space="0" w:color="auto"/>
            </w:tcBorders>
            <w:hideMark/>
          </w:tcPr>
          <w:p w:rsidR="00023FE7" w:rsidRDefault="00023FE7">
            <w:pPr>
              <w:spacing w:line="256" w:lineRule="auto"/>
              <w:rPr>
                <w:lang w:val="en-GB" w:eastAsia="en-US"/>
              </w:rPr>
            </w:pPr>
            <w:r>
              <w:rPr>
                <w:lang w:val="en-GB" w:eastAsia="en-US"/>
              </w:rPr>
              <w:t>Structural Funds Management</w:t>
            </w:r>
            <w:r w:rsidR="00BB44C8">
              <w:rPr>
                <w:lang w:val="en-GB" w:eastAsia="en-US"/>
              </w:rPr>
              <w:t xml:space="preserve"> (Introduction to EU Regional Policy and Structural Funds Management)</w:t>
            </w:r>
          </w:p>
        </w:tc>
      </w:tr>
      <w:tr w:rsidR="00023FE7" w:rsidRPr="00BB44C8" w:rsidTr="00023FE7">
        <w:tc>
          <w:tcPr>
            <w:tcW w:w="2628" w:type="dxa"/>
            <w:tcBorders>
              <w:top w:val="single" w:sz="4" w:space="0" w:color="auto"/>
              <w:left w:val="single" w:sz="4" w:space="0" w:color="auto"/>
              <w:bottom w:val="single" w:sz="4" w:space="0" w:color="auto"/>
              <w:right w:val="single" w:sz="4" w:space="0" w:color="auto"/>
            </w:tcBorders>
            <w:hideMark/>
          </w:tcPr>
          <w:p w:rsidR="00023FE7" w:rsidRDefault="00023FE7">
            <w:pPr>
              <w:spacing w:line="256" w:lineRule="auto"/>
              <w:rPr>
                <w:lang w:val="en-GB" w:eastAsia="en-US"/>
              </w:rPr>
            </w:pPr>
            <w:r>
              <w:rPr>
                <w:lang w:val="en-GB" w:eastAsia="en-US"/>
              </w:rPr>
              <w:t>2. Responsible unit</w:t>
            </w:r>
          </w:p>
        </w:tc>
        <w:tc>
          <w:tcPr>
            <w:tcW w:w="6584" w:type="dxa"/>
            <w:tcBorders>
              <w:top w:val="single" w:sz="4" w:space="0" w:color="auto"/>
              <w:left w:val="single" w:sz="4" w:space="0" w:color="auto"/>
              <w:bottom w:val="single" w:sz="4" w:space="0" w:color="auto"/>
              <w:right w:val="single" w:sz="4" w:space="0" w:color="auto"/>
            </w:tcBorders>
            <w:hideMark/>
          </w:tcPr>
          <w:p w:rsidR="00023FE7" w:rsidRDefault="00023FE7">
            <w:pPr>
              <w:spacing w:line="256" w:lineRule="auto"/>
              <w:rPr>
                <w:lang w:val="en-GB" w:eastAsia="en-US"/>
              </w:rPr>
            </w:pPr>
            <w:r>
              <w:rPr>
                <w:lang w:val="en-GB" w:eastAsia="en-US"/>
              </w:rPr>
              <w:t xml:space="preserve">Institute of Economic </w:t>
            </w:r>
            <w:proofErr w:type="spellStart"/>
            <w:r>
              <w:rPr>
                <w:lang w:val="en-GB" w:eastAsia="en-US"/>
              </w:rPr>
              <w:t>Sciences,Section</w:t>
            </w:r>
            <w:proofErr w:type="spellEnd"/>
            <w:r>
              <w:rPr>
                <w:lang w:val="en-GB" w:eastAsia="en-US"/>
              </w:rPr>
              <w:t xml:space="preserve"> of International Economic Relations</w:t>
            </w:r>
          </w:p>
        </w:tc>
      </w:tr>
      <w:tr w:rsidR="00023FE7" w:rsidTr="00023FE7">
        <w:tc>
          <w:tcPr>
            <w:tcW w:w="2628" w:type="dxa"/>
            <w:tcBorders>
              <w:top w:val="single" w:sz="4" w:space="0" w:color="auto"/>
              <w:left w:val="single" w:sz="4" w:space="0" w:color="auto"/>
              <w:bottom w:val="single" w:sz="4" w:space="0" w:color="auto"/>
              <w:right w:val="single" w:sz="4" w:space="0" w:color="auto"/>
            </w:tcBorders>
            <w:hideMark/>
          </w:tcPr>
          <w:p w:rsidR="00023FE7" w:rsidRDefault="00023FE7">
            <w:pPr>
              <w:spacing w:line="256" w:lineRule="auto"/>
              <w:rPr>
                <w:lang w:val="en-GB" w:eastAsia="en-US"/>
              </w:rPr>
            </w:pPr>
            <w:r>
              <w:rPr>
                <w:lang w:val="en-GB" w:eastAsia="en-US"/>
              </w:rPr>
              <w:t>3. Code of the course</w:t>
            </w:r>
          </w:p>
        </w:tc>
        <w:tc>
          <w:tcPr>
            <w:tcW w:w="6584" w:type="dxa"/>
            <w:tcBorders>
              <w:top w:val="single" w:sz="4" w:space="0" w:color="auto"/>
              <w:left w:val="single" w:sz="4" w:space="0" w:color="auto"/>
              <w:bottom w:val="single" w:sz="4" w:space="0" w:color="auto"/>
              <w:right w:val="single" w:sz="4" w:space="0" w:color="auto"/>
            </w:tcBorders>
          </w:tcPr>
          <w:p w:rsidR="00023FE7" w:rsidRDefault="00023FE7">
            <w:pPr>
              <w:spacing w:line="256" w:lineRule="auto"/>
              <w:rPr>
                <w:lang w:val="en-GB" w:eastAsia="en-US"/>
              </w:rPr>
            </w:pPr>
          </w:p>
        </w:tc>
      </w:tr>
      <w:tr w:rsidR="00023FE7" w:rsidTr="00023FE7">
        <w:tc>
          <w:tcPr>
            <w:tcW w:w="2628" w:type="dxa"/>
            <w:tcBorders>
              <w:top w:val="single" w:sz="4" w:space="0" w:color="auto"/>
              <w:left w:val="single" w:sz="4" w:space="0" w:color="auto"/>
              <w:bottom w:val="single" w:sz="4" w:space="0" w:color="auto"/>
              <w:right w:val="single" w:sz="4" w:space="0" w:color="auto"/>
            </w:tcBorders>
            <w:hideMark/>
          </w:tcPr>
          <w:p w:rsidR="00023FE7" w:rsidRDefault="00023FE7">
            <w:pPr>
              <w:spacing w:line="256" w:lineRule="auto"/>
              <w:rPr>
                <w:lang w:val="en-GB" w:eastAsia="en-US"/>
              </w:rPr>
            </w:pPr>
            <w:r>
              <w:rPr>
                <w:lang w:val="en-GB" w:eastAsia="en-US"/>
              </w:rPr>
              <w:t xml:space="preserve">4. </w:t>
            </w:r>
            <w:proofErr w:type="spellStart"/>
            <w:r>
              <w:rPr>
                <w:lang w:val="en-GB" w:eastAsia="en-US"/>
              </w:rPr>
              <w:t>Course</w:t>
            </w:r>
            <w:proofErr w:type="spellEnd"/>
            <w:r>
              <w:rPr>
                <w:lang w:val="en-GB" w:eastAsia="en-US"/>
              </w:rPr>
              <w:t xml:space="preserve"> language</w:t>
            </w:r>
          </w:p>
        </w:tc>
        <w:tc>
          <w:tcPr>
            <w:tcW w:w="6584" w:type="dxa"/>
            <w:tcBorders>
              <w:top w:val="single" w:sz="4" w:space="0" w:color="auto"/>
              <w:left w:val="single" w:sz="4" w:space="0" w:color="auto"/>
              <w:bottom w:val="single" w:sz="4" w:space="0" w:color="auto"/>
              <w:right w:val="single" w:sz="4" w:space="0" w:color="auto"/>
            </w:tcBorders>
            <w:hideMark/>
          </w:tcPr>
          <w:p w:rsidR="00023FE7" w:rsidRDefault="00023FE7">
            <w:pPr>
              <w:spacing w:line="256" w:lineRule="auto"/>
              <w:rPr>
                <w:lang w:val="en-GB" w:eastAsia="en-US"/>
              </w:rPr>
            </w:pPr>
            <w:r>
              <w:rPr>
                <w:lang w:val="en-GB" w:eastAsia="en-US"/>
              </w:rPr>
              <w:t>English</w:t>
            </w:r>
          </w:p>
        </w:tc>
      </w:tr>
      <w:tr w:rsidR="00023FE7" w:rsidTr="00023FE7">
        <w:tc>
          <w:tcPr>
            <w:tcW w:w="2628" w:type="dxa"/>
            <w:tcBorders>
              <w:top w:val="single" w:sz="4" w:space="0" w:color="auto"/>
              <w:left w:val="single" w:sz="4" w:space="0" w:color="auto"/>
              <w:bottom w:val="single" w:sz="4" w:space="0" w:color="auto"/>
              <w:right w:val="single" w:sz="4" w:space="0" w:color="auto"/>
            </w:tcBorders>
            <w:hideMark/>
          </w:tcPr>
          <w:p w:rsidR="00023FE7" w:rsidRDefault="00023FE7">
            <w:pPr>
              <w:spacing w:line="256" w:lineRule="auto"/>
              <w:rPr>
                <w:lang w:val="en-GB" w:eastAsia="en-US"/>
              </w:rPr>
            </w:pPr>
            <w:r>
              <w:rPr>
                <w:lang w:val="en-GB" w:eastAsia="en-US"/>
              </w:rPr>
              <w:t>5.  Type of the course content</w:t>
            </w:r>
          </w:p>
        </w:tc>
        <w:tc>
          <w:tcPr>
            <w:tcW w:w="6584" w:type="dxa"/>
            <w:tcBorders>
              <w:top w:val="single" w:sz="4" w:space="0" w:color="auto"/>
              <w:left w:val="single" w:sz="4" w:space="0" w:color="auto"/>
              <w:bottom w:val="single" w:sz="4" w:space="0" w:color="auto"/>
              <w:right w:val="single" w:sz="4" w:space="0" w:color="auto"/>
            </w:tcBorders>
            <w:hideMark/>
          </w:tcPr>
          <w:p w:rsidR="00023FE7" w:rsidRDefault="00023FE7">
            <w:pPr>
              <w:spacing w:line="256" w:lineRule="auto"/>
              <w:rPr>
                <w:lang w:val="en-GB" w:eastAsia="en-US"/>
              </w:rPr>
            </w:pPr>
            <w:r>
              <w:rPr>
                <w:lang w:val="en-GB" w:eastAsia="en-US"/>
              </w:rPr>
              <w:t>Basic</w:t>
            </w:r>
          </w:p>
        </w:tc>
      </w:tr>
      <w:tr w:rsidR="00023FE7" w:rsidTr="00023FE7">
        <w:tc>
          <w:tcPr>
            <w:tcW w:w="2628" w:type="dxa"/>
            <w:tcBorders>
              <w:top w:val="single" w:sz="4" w:space="0" w:color="auto"/>
              <w:left w:val="single" w:sz="4" w:space="0" w:color="auto"/>
              <w:bottom w:val="single" w:sz="4" w:space="0" w:color="auto"/>
              <w:right w:val="single" w:sz="4" w:space="0" w:color="auto"/>
            </w:tcBorders>
            <w:hideMark/>
          </w:tcPr>
          <w:p w:rsidR="00023FE7" w:rsidRDefault="00023FE7">
            <w:pPr>
              <w:spacing w:line="256" w:lineRule="auto"/>
              <w:rPr>
                <w:lang w:val="en-GB" w:eastAsia="en-US"/>
              </w:rPr>
            </w:pPr>
            <w:r>
              <w:rPr>
                <w:lang w:val="en-GB" w:eastAsia="en-US"/>
              </w:rPr>
              <w:t>6. Type of the course</w:t>
            </w:r>
          </w:p>
        </w:tc>
        <w:tc>
          <w:tcPr>
            <w:tcW w:w="6584" w:type="dxa"/>
            <w:tcBorders>
              <w:top w:val="single" w:sz="4" w:space="0" w:color="auto"/>
              <w:left w:val="single" w:sz="4" w:space="0" w:color="auto"/>
              <w:bottom w:val="single" w:sz="4" w:space="0" w:color="auto"/>
              <w:right w:val="single" w:sz="4" w:space="0" w:color="auto"/>
            </w:tcBorders>
            <w:hideMark/>
          </w:tcPr>
          <w:p w:rsidR="00023FE7" w:rsidRDefault="00023FE7">
            <w:pPr>
              <w:spacing w:line="256" w:lineRule="auto"/>
              <w:rPr>
                <w:lang w:val="en-GB" w:eastAsia="en-US"/>
              </w:rPr>
            </w:pPr>
            <w:r>
              <w:rPr>
                <w:lang w:val="en-GB" w:eastAsia="en-US"/>
              </w:rPr>
              <w:t>Obligatory</w:t>
            </w:r>
          </w:p>
        </w:tc>
      </w:tr>
      <w:tr w:rsidR="00023FE7" w:rsidTr="00023FE7">
        <w:tc>
          <w:tcPr>
            <w:tcW w:w="2628" w:type="dxa"/>
            <w:tcBorders>
              <w:top w:val="single" w:sz="4" w:space="0" w:color="auto"/>
              <w:left w:val="single" w:sz="4" w:space="0" w:color="auto"/>
              <w:bottom w:val="single" w:sz="4" w:space="0" w:color="auto"/>
              <w:right w:val="single" w:sz="4" w:space="0" w:color="auto"/>
            </w:tcBorders>
            <w:hideMark/>
          </w:tcPr>
          <w:p w:rsidR="00023FE7" w:rsidRDefault="00023FE7">
            <w:pPr>
              <w:spacing w:line="256" w:lineRule="auto"/>
              <w:rPr>
                <w:lang w:val="en-GB" w:eastAsia="en-US"/>
              </w:rPr>
            </w:pPr>
            <w:r>
              <w:rPr>
                <w:lang w:val="en-GB" w:eastAsia="en-US"/>
              </w:rPr>
              <w:t>7. Year / Semester</w:t>
            </w:r>
          </w:p>
        </w:tc>
        <w:tc>
          <w:tcPr>
            <w:tcW w:w="6584" w:type="dxa"/>
            <w:tcBorders>
              <w:top w:val="single" w:sz="4" w:space="0" w:color="auto"/>
              <w:left w:val="single" w:sz="4" w:space="0" w:color="auto"/>
              <w:bottom w:val="single" w:sz="4" w:space="0" w:color="auto"/>
              <w:right w:val="single" w:sz="4" w:space="0" w:color="auto"/>
            </w:tcBorders>
            <w:hideMark/>
          </w:tcPr>
          <w:p w:rsidR="00023FE7" w:rsidRDefault="00023FE7">
            <w:pPr>
              <w:spacing w:line="256" w:lineRule="auto"/>
              <w:rPr>
                <w:lang w:val="en-GB" w:eastAsia="en-US"/>
              </w:rPr>
            </w:pPr>
            <w:r>
              <w:rPr>
                <w:lang w:val="en-GB" w:eastAsia="en-US"/>
              </w:rPr>
              <w:t>2/4</w:t>
            </w:r>
          </w:p>
        </w:tc>
      </w:tr>
      <w:tr w:rsidR="00023FE7" w:rsidRPr="00BB44C8" w:rsidTr="00023FE7">
        <w:tc>
          <w:tcPr>
            <w:tcW w:w="2628" w:type="dxa"/>
            <w:tcBorders>
              <w:top w:val="single" w:sz="4" w:space="0" w:color="auto"/>
              <w:left w:val="single" w:sz="4" w:space="0" w:color="auto"/>
              <w:bottom w:val="single" w:sz="4" w:space="0" w:color="auto"/>
              <w:right w:val="single" w:sz="4" w:space="0" w:color="auto"/>
            </w:tcBorders>
            <w:hideMark/>
          </w:tcPr>
          <w:p w:rsidR="00023FE7" w:rsidRDefault="00023FE7">
            <w:pPr>
              <w:spacing w:line="256" w:lineRule="auto"/>
              <w:rPr>
                <w:lang w:val="en-GB" w:eastAsia="en-US"/>
              </w:rPr>
            </w:pPr>
            <w:r>
              <w:rPr>
                <w:lang w:val="en-GB" w:eastAsia="en-US"/>
              </w:rPr>
              <w:t>8. Lecturer(s)</w:t>
            </w:r>
          </w:p>
        </w:tc>
        <w:tc>
          <w:tcPr>
            <w:tcW w:w="6584" w:type="dxa"/>
            <w:tcBorders>
              <w:top w:val="single" w:sz="4" w:space="0" w:color="auto"/>
              <w:left w:val="single" w:sz="4" w:space="0" w:color="auto"/>
              <w:bottom w:val="single" w:sz="4" w:space="0" w:color="auto"/>
              <w:right w:val="single" w:sz="4" w:space="0" w:color="auto"/>
            </w:tcBorders>
            <w:hideMark/>
          </w:tcPr>
          <w:p w:rsidR="00023FE7" w:rsidRDefault="00023FE7">
            <w:pPr>
              <w:spacing w:line="256" w:lineRule="auto"/>
              <w:rPr>
                <w:lang w:val="en-GB" w:eastAsia="en-US"/>
              </w:rPr>
            </w:pPr>
            <w:proofErr w:type="spellStart"/>
            <w:r>
              <w:rPr>
                <w:lang w:val="en-GB" w:eastAsia="en-US"/>
              </w:rPr>
              <w:t>Dr.Wladyslaw</w:t>
            </w:r>
            <w:proofErr w:type="spellEnd"/>
            <w:r>
              <w:rPr>
                <w:lang w:val="en-GB" w:eastAsia="en-US"/>
              </w:rPr>
              <w:t xml:space="preserve"> Szmyt </w:t>
            </w:r>
          </w:p>
          <w:p w:rsidR="00023FE7" w:rsidRDefault="00023FE7">
            <w:pPr>
              <w:spacing w:line="256" w:lineRule="auto"/>
              <w:rPr>
                <w:lang w:val="en-GB" w:eastAsia="en-US"/>
              </w:rPr>
            </w:pPr>
            <w:proofErr w:type="spellStart"/>
            <w:r>
              <w:rPr>
                <w:lang w:val="en-GB" w:eastAsia="en-US"/>
              </w:rPr>
              <w:t>Office:Room</w:t>
            </w:r>
            <w:proofErr w:type="spellEnd"/>
            <w:r>
              <w:rPr>
                <w:lang w:val="en-GB" w:eastAsia="en-US"/>
              </w:rPr>
              <w:t xml:space="preserve"> 105 Building B</w:t>
            </w:r>
          </w:p>
          <w:p w:rsidR="00023FE7" w:rsidRDefault="00023FE7">
            <w:pPr>
              <w:spacing w:line="256" w:lineRule="auto"/>
              <w:rPr>
                <w:lang w:val="en-GB" w:eastAsia="en-US"/>
              </w:rPr>
            </w:pPr>
            <w:r>
              <w:rPr>
                <w:lang w:val="en-GB" w:eastAsia="en-US"/>
              </w:rPr>
              <w:t>Phone: 71 3752983</w:t>
            </w:r>
          </w:p>
          <w:p w:rsidR="00023FE7" w:rsidRDefault="00023FE7">
            <w:pPr>
              <w:spacing w:line="256" w:lineRule="auto"/>
              <w:rPr>
                <w:lang w:val="en-GB" w:eastAsia="en-US"/>
              </w:rPr>
            </w:pPr>
            <w:r>
              <w:rPr>
                <w:lang w:val="en-GB" w:eastAsia="en-US"/>
              </w:rPr>
              <w:t>E-mail: wszmyt@prawo.uni.wroc.pl</w:t>
            </w:r>
          </w:p>
        </w:tc>
      </w:tr>
      <w:tr w:rsidR="00023FE7" w:rsidTr="00023FE7">
        <w:tc>
          <w:tcPr>
            <w:tcW w:w="2628" w:type="dxa"/>
            <w:tcBorders>
              <w:top w:val="single" w:sz="4" w:space="0" w:color="auto"/>
              <w:left w:val="single" w:sz="4" w:space="0" w:color="auto"/>
              <w:bottom w:val="single" w:sz="4" w:space="0" w:color="auto"/>
              <w:right w:val="single" w:sz="4" w:space="0" w:color="auto"/>
            </w:tcBorders>
            <w:hideMark/>
          </w:tcPr>
          <w:p w:rsidR="00023FE7" w:rsidRDefault="00023FE7">
            <w:pPr>
              <w:spacing w:line="256" w:lineRule="auto"/>
              <w:rPr>
                <w:lang w:val="en-GB" w:eastAsia="en-US"/>
              </w:rPr>
            </w:pPr>
            <w:r>
              <w:rPr>
                <w:lang w:val="en-GB" w:eastAsia="en-US"/>
              </w:rPr>
              <w:t>9. Lecturer’s substitute</w:t>
            </w:r>
          </w:p>
        </w:tc>
        <w:tc>
          <w:tcPr>
            <w:tcW w:w="6584" w:type="dxa"/>
            <w:tcBorders>
              <w:top w:val="single" w:sz="4" w:space="0" w:color="auto"/>
              <w:left w:val="single" w:sz="4" w:space="0" w:color="auto"/>
              <w:bottom w:val="single" w:sz="4" w:space="0" w:color="auto"/>
              <w:right w:val="single" w:sz="4" w:space="0" w:color="auto"/>
            </w:tcBorders>
          </w:tcPr>
          <w:p w:rsidR="00023FE7" w:rsidRDefault="00023FE7">
            <w:pPr>
              <w:spacing w:line="256" w:lineRule="auto"/>
              <w:rPr>
                <w:lang w:val="en-GB" w:eastAsia="en-US"/>
              </w:rPr>
            </w:pPr>
          </w:p>
        </w:tc>
      </w:tr>
      <w:tr w:rsidR="00023FE7" w:rsidRPr="00BB44C8" w:rsidTr="00023FE7">
        <w:tc>
          <w:tcPr>
            <w:tcW w:w="2628" w:type="dxa"/>
            <w:tcBorders>
              <w:top w:val="single" w:sz="4" w:space="0" w:color="auto"/>
              <w:left w:val="single" w:sz="4" w:space="0" w:color="auto"/>
              <w:bottom w:val="single" w:sz="4" w:space="0" w:color="auto"/>
              <w:right w:val="single" w:sz="4" w:space="0" w:color="auto"/>
            </w:tcBorders>
            <w:hideMark/>
          </w:tcPr>
          <w:p w:rsidR="00023FE7" w:rsidRDefault="00023FE7">
            <w:pPr>
              <w:spacing w:line="256" w:lineRule="auto"/>
              <w:rPr>
                <w:lang w:val="en-GB" w:eastAsia="en-US"/>
              </w:rPr>
            </w:pPr>
            <w:r>
              <w:rPr>
                <w:lang w:val="en-GB" w:eastAsia="en-US"/>
              </w:rPr>
              <w:t>10. Type of instructions</w:t>
            </w:r>
          </w:p>
        </w:tc>
        <w:tc>
          <w:tcPr>
            <w:tcW w:w="6584" w:type="dxa"/>
            <w:tcBorders>
              <w:top w:val="single" w:sz="4" w:space="0" w:color="auto"/>
              <w:left w:val="single" w:sz="4" w:space="0" w:color="auto"/>
              <w:bottom w:val="single" w:sz="4" w:space="0" w:color="auto"/>
              <w:right w:val="single" w:sz="4" w:space="0" w:color="auto"/>
            </w:tcBorders>
          </w:tcPr>
          <w:p w:rsidR="00023FE7" w:rsidRDefault="00023FE7">
            <w:pPr>
              <w:spacing w:line="256" w:lineRule="auto"/>
              <w:rPr>
                <w:lang w:val="en-GB" w:eastAsia="en-US"/>
              </w:rPr>
            </w:pPr>
            <w:r>
              <w:rPr>
                <w:lang w:val="en-GB" w:eastAsia="en-US"/>
              </w:rPr>
              <w:t>Lecture:2 hours per week (odd week); 7 weeks</w:t>
            </w:r>
          </w:p>
          <w:p w:rsidR="00023FE7" w:rsidRDefault="00023FE7">
            <w:pPr>
              <w:spacing w:line="256" w:lineRule="auto"/>
              <w:rPr>
                <w:lang w:val="en-GB" w:eastAsia="en-US"/>
              </w:rPr>
            </w:pPr>
          </w:p>
        </w:tc>
      </w:tr>
      <w:tr w:rsidR="00023FE7" w:rsidTr="00023FE7">
        <w:tc>
          <w:tcPr>
            <w:tcW w:w="2628" w:type="dxa"/>
            <w:tcBorders>
              <w:top w:val="single" w:sz="4" w:space="0" w:color="auto"/>
              <w:left w:val="single" w:sz="4" w:space="0" w:color="auto"/>
              <w:bottom w:val="single" w:sz="4" w:space="0" w:color="auto"/>
              <w:right w:val="single" w:sz="4" w:space="0" w:color="auto"/>
            </w:tcBorders>
            <w:hideMark/>
          </w:tcPr>
          <w:p w:rsidR="00023FE7" w:rsidRDefault="00023FE7">
            <w:pPr>
              <w:spacing w:line="256" w:lineRule="auto"/>
              <w:rPr>
                <w:lang w:val="en-GB" w:eastAsia="en-US"/>
              </w:rPr>
            </w:pPr>
            <w:r>
              <w:rPr>
                <w:lang w:val="en-GB" w:eastAsia="en-US"/>
              </w:rPr>
              <w:t>11. Prerequisites</w:t>
            </w:r>
          </w:p>
        </w:tc>
        <w:tc>
          <w:tcPr>
            <w:tcW w:w="6584" w:type="dxa"/>
            <w:tcBorders>
              <w:top w:val="single" w:sz="4" w:space="0" w:color="auto"/>
              <w:left w:val="single" w:sz="4" w:space="0" w:color="auto"/>
              <w:bottom w:val="single" w:sz="4" w:space="0" w:color="auto"/>
              <w:right w:val="single" w:sz="4" w:space="0" w:color="auto"/>
            </w:tcBorders>
            <w:hideMark/>
          </w:tcPr>
          <w:p w:rsidR="00023FE7" w:rsidRDefault="00023FE7">
            <w:pPr>
              <w:spacing w:line="256" w:lineRule="auto"/>
              <w:rPr>
                <w:lang w:val="en-GB" w:eastAsia="en-US"/>
              </w:rPr>
            </w:pPr>
            <w:r>
              <w:rPr>
                <w:lang w:val="en-GB" w:eastAsia="en-US"/>
              </w:rPr>
              <w:t>None</w:t>
            </w:r>
          </w:p>
        </w:tc>
      </w:tr>
      <w:tr w:rsidR="00023FE7" w:rsidTr="00023FE7">
        <w:tc>
          <w:tcPr>
            <w:tcW w:w="2628" w:type="dxa"/>
            <w:tcBorders>
              <w:top w:val="single" w:sz="4" w:space="0" w:color="auto"/>
              <w:left w:val="single" w:sz="4" w:space="0" w:color="auto"/>
              <w:bottom w:val="single" w:sz="4" w:space="0" w:color="auto"/>
              <w:right w:val="single" w:sz="4" w:space="0" w:color="auto"/>
            </w:tcBorders>
            <w:hideMark/>
          </w:tcPr>
          <w:p w:rsidR="00023FE7" w:rsidRDefault="00023FE7">
            <w:pPr>
              <w:spacing w:line="256" w:lineRule="auto"/>
              <w:rPr>
                <w:lang w:val="en-GB" w:eastAsia="en-US"/>
              </w:rPr>
            </w:pPr>
            <w:r>
              <w:rPr>
                <w:lang w:val="en-GB" w:eastAsia="en-US"/>
              </w:rPr>
              <w:t>12. Number of hours</w:t>
            </w:r>
          </w:p>
        </w:tc>
        <w:tc>
          <w:tcPr>
            <w:tcW w:w="6584" w:type="dxa"/>
            <w:tcBorders>
              <w:top w:val="single" w:sz="4" w:space="0" w:color="auto"/>
              <w:left w:val="single" w:sz="4" w:space="0" w:color="auto"/>
              <w:bottom w:val="single" w:sz="4" w:space="0" w:color="auto"/>
              <w:right w:val="single" w:sz="4" w:space="0" w:color="auto"/>
            </w:tcBorders>
            <w:hideMark/>
          </w:tcPr>
          <w:p w:rsidR="00023FE7" w:rsidRDefault="00023FE7">
            <w:pPr>
              <w:spacing w:line="256" w:lineRule="auto"/>
              <w:rPr>
                <w:lang w:val="en-GB" w:eastAsia="en-US"/>
              </w:rPr>
            </w:pPr>
            <w:r>
              <w:rPr>
                <w:lang w:val="en-GB" w:eastAsia="en-US"/>
              </w:rPr>
              <w:t>15</w:t>
            </w:r>
          </w:p>
        </w:tc>
      </w:tr>
      <w:tr w:rsidR="00023FE7" w:rsidTr="00023FE7">
        <w:tc>
          <w:tcPr>
            <w:tcW w:w="2628" w:type="dxa"/>
            <w:tcBorders>
              <w:top w:val="single" w:sz="4" w:space="0" w:color="auto"/>
              <w:left w:val="single" w:sz="4" w:space="0" w:color="auto"/>
              <w:bottom w:val="single" w:sz="4" w:space="0" w:color="auto"/>
              <w:right w:val="single" w:sz="4" w:space="0" w:color="auto"/>
            </w:tcBorders>
            <w:hideMark/>
          </w:tcPr>
          <w:p w:rsidR="00023FE7" w:rsidRDefault="00023FE7">
            <w:pPr>
              <w:spacing w:line="256" w:lineRule="auto"/>
              <w:rPr>
                <w:lang w:val="en-GB" w:eastAsia="en-US"/>
              </w:rPr>
            </w:pPr>
            <w:r>
              <w:rPr>
                <w:lang w:val="en-GB" w:eastAsia="en-US"/>
              </w:rPr>
              <w:t>13. ECTS points</w:t>
            </w:r>
          </w:p>
        </w:tc>
        <w:tc>
          <w:tcPr>
            <w:tcW w:w="6584" w:type="dxa"/>
            <w:tcBorders>
              <w:top w:val="single" w:sz="4" w:space="0" w:color="auto"/>
              <w:left w:val="single" w:sz="4" w:space="0" w:color="auto"/>
              <w:bottom w:val="single" w:sz="4" w:space="0" w:color="auto"/>
              <w:right w:val="single" w:sz="4" w:space="0" w:color="auto"/>
            </w:tcBorders>
            <w:hideMark/>
          </w:tcPr>
          <w:p w:rsidR="00023FE7" w:rsidRDefault="00023FE7">
            <w:pPr>
              <w:spacing w:line="256" w:lineRule="auto"/>
              <w:rPr>
                <w:lang w:val="en-GB" w:eastAsia="en-US"/>
              </w:rPr>
            </w:pPr>
            <w:r>
              <w:rPr>
                <w:lang w:val="en-GB" w:eastAsia="en-US"/>
              </w:rPr>
              <w:t>4</w:t>
            </w:r>
          </w:p>
        </w:tc>
      </w:tr>
      <w:tr w:rsidR="00023FE7" w:rsidRPr="00BB44C8" w:rsidTr="00023FE7">
        <w:tc>
          <w:tcPr>
            <w:tcW w:w="2628" w:type="dxa"/>
            <w:tcBorders>
              <w:top w:val="single" w:sz="4" w:space="0" w:color="auto"/>
              <w:left w:val="single" w:sz="4" w:space="0" w:color="auto"/>
              <w:bottom w:val="single" w:sz="4" w:space="0" w:color="auto"/>
              <w:right w:val="single" w:sz="4" w:space="0" w:color="auto"/>
            </w:tcBorders>
            <w:hideMark/>
          </w:tcPr>
          <w:p w:rsidR="00023FE7" w:rsidRDefault="00023FE7">
            <w:pPr>
              <w:spacing w:line="256" w:lineRule="auto"/>
              <w:rPr>
                <w:lang w:val="en-GB" w:eastAsia="en-US"/>
              </w:rPr>
            </w:pPr>
            <w:r>
              <w:rPr>
                <w:lang w:val="en-GB" w:eastAsia="en-US"/>
              </w:rPr>
              <w:t>14. Course objectives</w:t>
            </w:r>
          </w:p>
        </w:tc>
        <w:tc>
          <w:tcPr>
            <w:tcW w:w="6584" w:type="dxa"/>
            <w:tcBorders>
              <w:top w:val="single" w:sz="4" w:space="0" w:color="auto"/>
              <w:left w:val="single" w:sz="4" w:space="0" w:color="auto"/>
              <w:bottom w:val="single" w:sz="4" w:space="0" w:color="auto"/>
              <w:right w:val="single" w:sz="4" w:space="0" w:color="auto"/>
            </w:tcBorders>
          </w:tcPr>
          <w:p w:rsidR="00023FE7" w:rsidRDefault="00023FE7">
            <w:pPr>
              <w:spacing w:line="256" w:lineRule="auto"/>
              <w:rPr>
                <w:color w:val="000000"/>
                <w:szCs w:val="20"/>
                <w:lang w:val="en-GB" w:eastAsia="en-US"/>
              </w:rPr>
            </w:pPr>
            <w:r>
              <w:rPr>
                <w:color w:val="000000"/>
                <w:szCs w:val="20"/>
                <w:lang w:val="en-GB" w:eastAsia="en-US"/>
              </w:rPr>
              <w:t xml:space="preserve">The aim of the course is to provide overview </w:t>
            </w:r>
            <w:proofErr w:type="gramStart"/>
            <w:r>
              <w:rPr>
                <w:color w:val="000000"/>
                <w:szCs w:val="20"/>
                <w:lang w:val="en-GB" w:eastAsia="en-US"/>
              </w:rPr>
              <w:t>of  the</w:t>
            </w:r>
            <w:proofErr w:type="gramEnd"/>
            <w:r>
              <w:rPr>
                <w:color w:val="000000"/>
                <w:szCs w:val="20"/>
                <w:lang w:val="en-GB" w:eastAsia="en-US"/>
              </w:rPr>
              <w:t xml:space="preserve"> assistance from the EU structural funds. Students will be able to locate and </w:t>
            </w:r>
            <w:proofErr w:type="spellStart"/>
            <w:r>
              <w:rPr>
                <w:color w:val="000000"/>
                <w:szCs w:val="20"/>
                <w:lang w:val="en-GB" w:eastAsia="en-US"/>
              </w:rPr>
              <w:t>analyze</w:t>
            </w:r>
            <w:proofErr w:type="spellEnd"/>
            <w:r>
              <w:rPr>
                <w:color w:val="000000"/>
                <w:szCs w:val="20"/>
                <w:lang w:val="en-GB" w:eastAsia="en-US"/>
              </w:rPr>
              <w:t xml:space="preserve"> information about the EU assistance programmes. They will be able to create full project proposals and be productively involved in their subsequent implementation. They will have an overview of the aid system and suitable programmes in the EU and Poland (or countries of </w:t>
            </w:r>
            <w:proofErr w:type="spellStart"/>
            <w:r>
              <w:rPr>
                <w:color w:val="000000"/>
                <w:szCs w:val="20"/>
                <w:lang w:val="en-GB" w:eastAsia="en-US"/>
              </w:rPr>
              <w:t>origin</w:t>
            </w:r>
            <w:proofErr w:type="gramStart"/>
            <w:r>
              <w:rPr>
                <w:color w:val="000000"/>
                <w:szCs w:val="20"/>
                <w:lang w:val="en-GB" w:eastAsia="en-US"/>
              </w:rPr>
              <w:t>,when</w:t>
            </w:r>
            <w:proofErr w:type="spellEnd"/>
            <w:proofErr w:type="gramEnd"/>
            <w:r>
              <w:rPr>
                <w:color w:val="000000"/>
                <w:szCs w:val="20"/>
                <w:lang w:val="en-GB" w:eastAsia="en-US"/>
              </w:rPr>
              <w:t xml:space="preserve"> students from abroad take part in course). They will have an overview of the implementation system of structural funds and be able to identify suitable aid programmes and create full funding proposal and prepare supporting documents to the proposal </w:t>
            </w:r>
            <w:r>
              <w:rPr>
                <w:color w:val="000000"/>
                <w:szCs w:val="20"/>
                <w:lang w:val="en-GB" w:eastAsia="en-US"/>
              </w:rPr>
              <w:lastRenderedPageBreak/>
              <w:t>(especially the feasibility study), understand key project success factors, understand differences in the preparation and management of soft and hard projects. They will be able to individually work on a project application, have experiences with team work, will be</w:t>
            </w:r>
          </w:p>
          <w:p w:rsidR="00023FE7" w:rsidRDefault="00023FE7">
            <w:pPr>
              <w:spacing w:line="256" w:lineRule="auto"/>
              <w:rPr>
                <w:color w:val="000000"/>
                <w:szCs w:val="20"/>
                <w:lang w:val="en-GB" w:eastAsia="en-US"/>
              </w:rPr>
            </w:pPr>
            <w:r>
              <w:rPr>
                <w:color w:val="000000"/>
                <w:szCs w:val="20"/>
                <w:lang w:val="en-GB" w:eastAsia="en-US"/>
              </w:rPr>
              <w:t xml:space="preserve"> </w:t>
            </w:r>
            <w:proofErr w:type="gramStart"/>
            <w:r>
              <w:rPr>
                <w:color w:val="000000"/>
                <w:szCs w:val="20"/>
                <w:lang w:val="en-GB" w:eastAsia="en-US"/>
              </w:rPr>
              <w:t>able</w:t>
            </w:r>
            <w:proofErr w:type="gramEnd"/>
            <w:r>
              <w:rPr>
                <w:color w:val="000000"/>
                <w:szCs w:val="20"/>
                <w:lang w:val="en-GB" w:eastAsia="en-US"/>
              </w:rPr>
              <w:t xml:space="preserve"> to navigate the project life cycle and identify key tasks in respective phases.</w:t>
            </w:r>
          </w:p>
          <w:p w:rsidR="00023FE7" w:rsidRDefault="00023FE7">
            <w:pPr>
              <w:pStyle w:val="HTML-wstpniesformatowany"/>
              <w:spacing w:line="256" w:lineRule="auto"/>
              <w:rPr>
                <w:rFonts w:ascii="Times New Roman" w:hAnsi="Times New Roman" w:cs="Times New Roman"/>
                <w:sz w:val="24"/>
                <w:lang w:val="en-GB" w:eastAsia="en-US"/>
              </w:rPr>
            </w:pPr>
            <w:r>
              <w:rPr>
                <w:rFonts w:ascii="Times New Roman" w:hAnsi="Times New Roman" w:cs="Times New Roman"/>
                <w:sz w:val="24"/>
                <w:lang w:val="en-GB" w:eastAsia="en-US"/>
              </w:rPr>
              <w:t>The aim of the classes/workshops is to introduce students to main knowledge on European project management and they cover the following topics:</w:t>
            </w:r>
          </w:p>
          <w:p w:rsidR="00023FE7" w:rsidRDefault="00023FE7">
            <w:pPr>
              <w:pStyle w:val="HTML-wstpniesformatowany"/>
              <w:spacing w:line="256" w:lineRule="auto"/>
              <w:rPr>
                <w:rFonts w:ascii="Times New Roman" w:hAnsi="Times New Roman" w:cs="Times New Roman"/>
                <w:sz w:val="24"/>
                <w:lang w:val="en-GB" w:eastAsia="en-US"/>
              </w:rPr>
            </w:pPr>
            <w:r>
              <w:rPr>
                <w:rFonts w:ascii="Times New Roman" w:hAnsi="Times New Roman" w:cs="Times New Roman"/>
                <w:sz w:val="24"/>
                <w:lang w:val="en-GB" w:eastAsia="en-US"/>
              </w:rPr>
              <w:t>- project management - notion, definition and stages</w:t>
            </w:r>
          </w:p>
          <w:p w:rsidR="00023FE7" w:rsidRDefault="00023FE7">
            <w:pPr>
              <w:pStyle w:val="HTML-wstpniesformatowany"/>
              <w:spacing w:line="256" w:lineRule="auto"/>
              <w:rPr>
                <w:rFonts w:ascii="Times New Roman" w:hAnsi="Times New Roman" w:cs="Times New Roman"/>
                <w:sz w:val="24"/>
                <w:lang w:val="en-GB" w:eastAsia="en-US"/>
              </w:rPr>
            </w:pPr>
            <w:r>
              <w:rPr>
                <w:rFonts w:ascii="Times New Roman" w:hAnsi="Times New Roman" w:cs="Times New Roman"/>
                <w:sz w:val="24"/>
                <w:lang w:val="en-GB" w:eastAsia="en-US"/>
              </w:rPr>
              <w:t>- conditions for project managements resulting from Community's rules of the Structural Funds</w:t>
            </w:r>
          </w:p>
          <w:p w:rsidR="00023FE7" w:rsidRDefault="00023FE7">
            <w:pPr>
              <w:pStyle w:val="HTML-wstpniesformatowany"/>
              <w:spacing w:line="256" w:lineRule="auto"/>
              <w:rPr>
                <w:rFonts w:ascii="Times New Roman" w:hAnsi="Times New Roman" w:cs="Times New Roman"/>
                <w:sz w:val="24"/>
                <w:lang w:val="en-GB" w:eastAsia="en-US"/>
              </w:rPr>
            </w:pPr>
            <w:r>
              <w:rPr>
                <w:rFonts w:ascii="Times New Roman" w:hAnsi="Times New Roman" w:cs="Times New Roman"/>
                <w:sz w:val="24"/>
                <w:lang w:val="en-GB" w:eastAsia="en-US"/>
              </w:rPr>
              <w:t>- realisation of project</w:t>
            </w:r>
          </w:p>
          <w:p w:rsidR="00023FE7" w:rsidRDefault="00023FE7">
            <w:pPr>
              <w:pStyle w:val="HTML-wstpniesformatowany"/>
              <w:spacing w:line="256" w:lineRule="auto"/>
              <w:rPr>
                <w:rFonts w:ascii="Times New Roman" w:hAnsi="Times New Roman" w:cs="Times New Roman"/>
                <w:sz w:val="24"/>
                <w:lang w:val="en-GB" w:eastAsia="en-US"/>
              </w:rPr>
            </w:pPr>
            <w:r>
              <w:rPr>
                <w:rFonts w:ascii="Times New Roman" w:hAnsi="Times New Roman" w:cs="Times New Roman"/>
                <w:sz w:val="24"/>
                <w:lang w:val="en-GB" w:eastAsia="en-US"/>
              </w:rPr>
              <w:t>- finance management in European projects</w:t>
            </w:r>
          </w:p>
          <w:p w:rsidR="00023FE7" w:rsidRDefault="00023FE7">
            <w:pPr>
              <w:pStyle w:val="HTML-wstpniesformatowany"/>
              <w:spacing w:line="256" w:lineRule="auto"/>
              <w:rPr>
                <w:rFonts w:ascii="Times New Roman" w:hAnsi="Times New Roman" w:cs="Times New Roman"/>
                <w:sz w:val="24"/>
                <w:lang w:val="en-GB" w:eastAsia="en-US"/>
              </w:rPr>
            </w:pPr>
            <w:r>
              <w:rPr>
                <w:rFonts w:ascii="Times New Roman" w:hAnsi="Times New Roman" w:cs="Times New Roman"/>
                <w:sz w:val="24"/>
                <w:lang w:val="en-GB" w:eastAsia="en-US"/>
              </w:rPr>
              <w:t>- monitoring of the project's realization</w:t>
            </w:r>
          </w:p>
          <w:p w:rsidR="00023FE7" w:rsidRDefault="00023FE7">
            <w:pPr>
              <w:pStyle w:val="HTML-wstpniesformatowany"/>
              <w:spacing w:line="256" w:lineRule="auto"/>
              <w:rPr>
                <w:rFonts w:ascii="Times New Roman" w:hAnsi="Times New Roman" w:cs="Times New Roman"/>
                <w:sz w:val="24"/>
                <w:lang w:val="en-GB" w:eastAsia="en-US"/>
              </w:rPr>
            </w:pPr>
            <w:r>
              <w:rPr>
                <w:rFonts w:ascii="Times New Roman" w:hAnsi="Times New Roman" w:cs="Times New Roman"/>
                <w:sz w:val="24"/>
                <w:lang w:val="en-GB" w:eastAsia="en-US"/>
              </w:rPr>
              <w:t>- controlling the realisation of the project</w:t>
            </w:r>
          </w:p>
          <w:p w:rsidR="00023FE7" w:rsidRDefault="00023FE7">
            <w:pPr>
              <w:pStyle w:val="HTML-wstpniesformatowany"/>
              <w:spacing w:line="256" w:lineRule="auto"/>
              <w:rPr>
                <w:rFonts w:ascii="Times New Roman" w:hAnsi="Times New Roman" w:cs="Times New Roman"/>
                <w:sz w:val="24"/>
                <w:lang w:val="en-GB" w:eastAsia="en-US"/>
              </w:rPr>
            </w:pPr>
            <w:r>
              <w:rPr>
                <w:rFonts w:ascii="Times New Roman" w:hAnsi="Times New Roman" w:cs="Times New Roman"/>
                <w:sz w:val="24"/>
                <w:lang w:val="en-GB" w:eastAsia="en-US"/>
              </w:rPr>
              <w:t>- quality management in project</w:t>
            </w:r>
          </w:p>
          <w:p w:rsidR="00023FE7" w:rsidRDefault="00023FE7">
            <w:pPr>
              <w:pStyle w:val="HTML-wstpniesformatowany"/>
              <w:spacing w:line="256" w:lineRule="auto"/>
              <w:rPr>
                <w:rFonts w:ascii="Times New Roman" w:hAnsi="Times New Roman" w:cs="Times New Roman"/>
                <w:sz w:val="24"/>
                <w:lang w:val="en-GB" w:eastAsia="en-US"/>
              </w:rPr>
            </w:pPr>
            <w:r>
              <w:rPr>
                <w:rFonts w:ascii="Times New Roman" w:hAnsi="Times New Roman" w:cs="Times New Roman"/>
                <w:sz w:val="24"/>
                <w:lang w:val="en-GB" w:eastAsia="en-US"/>
              </w:rPr>
              <w:t>- project team management</w:t>
            </w:r>
          </w:p>
          <w:p w:rsidR="00023FE7" w:rsidRDefault="00023FE7">
            <w:pPr>
              <w:pStyle w:val="HTML-wstpniesformatowany"/>
              <w:spacing w:line="256" w:lineRule="auto"/>
              <w:rPr>
                <w:rFonts w:ascii="Times New Roman" w:hAnsi="Times New Roman" w:cs="Times New Roman"/>
                <w:sz w:val="24"/>
                <w:lang w:val="en-GB" w:eastAsia="en-US"/>
              </w:rPr>
            </w:pPr>
            <w:r>
              <w:rPr>
                <w:rFonts w:ascii="Times New Roman" w:hAnsi="Times New Roman" w:cs="Times New Roman"/>
                <w:sz w:val="24"/>
                <w:lang w:val="en-GB" w:eastAsia="en-US"/>
              </w:rPr>
              <w:t>- risk managements in project realization</w:t>
            </w:r>
          </w:p>
          <w:p w:rsidR="00023FE7" w:rsidRDefault="00023FE7">
            <w:pPr>
              <w:pStyle w:val="HTML-wstpniesformatowany"/>
              <w:spacing w:line="256" w:lineRule="auto"/>
              <w:rPr>
                <w:lang w:val="en-GB" w:eastAsia="en-US"/>
              </w:rPr>
            </w:pPr>
            <w:r>
              <w:rPr>
                <w:rFonts w:ascii="Times New Roman" w:hAnsi="Times New Roman" w:cs="Times New Roman"/>
                <w:sz w:val="24"/>
                <w:lang w:val="en-GB" w:eastAsia="en-US"/>
              </w:rPr>
              <w:t>- rules and methods of project's evaluation</w:t>
            </w:r>
          </w:p>
          <w:p w:rsidR="00023FE7" w:rsidRDefault="00023FE7">
            <w:pPr>
              <w:spacing w:line="256" w:lineRule="auto"/>
              <w:rPr>
                <w:lang w:val="en-GB" w:eastAsia="en-US"/>
              </w:rPr>
            </w:pPr>
          </w:p>
        </w:tc>
      </w:tr>
      <w:tr w:rsidR="00023FE7" w:rsidRPr="00BB44C8" w:rsidTr="00023FE7">
        <w:tc>
          <w:tcPr>
            <w:tcW w:w="2628" w:type="dxa"/>
            <w:tcBorders>
              <w:top w:val="single" w:sz="4" w:space="0" w:color="auto"/>
              <w:left w:val="single" w:sz="4" w:space="0" w:color="auto"/>
              <w:bottom w:val="single" w:sz="4" w:space="0" w:color="auto"/>
              <w:right w:val="single" w:sz="4" w:space="0" w:color="auto"/>
            </w:tcBorders>
            <w:hideMark/>
          </w:tcPr>
          <w:p w:rsidR="00023FE7" w:rsidRDefault="00023FE7">
            <w:pPr>
              <w:spacing w:line="256" w:lineRule="auto"/>
              <w:rPr>
                <w:lang w:val="en-GB" w:eastAsia="en-US"/>
              </w:rPr>
            </w:pPr>
            <w:r>
              <w:rPr>
                <w:lang w:val="en-GB" w:eastAsia="en-US"/>
              </w:rPr>
              <w:lastRenderedPageBreak/>
              <w:t>15. Course requirements and grading</w:t>
            </w:r>
          </w:p>
        </w:tc>
        <w:tc>
          <w:tcPr>
            <w:tcW w:w="6584" w:type="dxa"/>
            <w:tcBorders>
              <w:top w:val="single" w:sz="4" w:space="0" w:color="auto"/>
              <w:left w:val="single" w:sz="4" w:space="0" w:color="auto"/>
              <w:bottom w:val="single" w:sz="4" w:space="0" w:color="auto"/>
              <w:right w:val="single" w:sz="4" w:space="0" w:color="auto"/>
            </w:tcBorders>
            <w:hideMark/>
          </w:tcPr>
          <w:p w:rsidR="00023FE7" w:rsidRDefault="00023FE7">
            <w:pPr>
              <w:spacing w:line="256" w:lineRule="auto"/>
              <w:rPr>
                <w:lang w:val="en-GB" w:eastAsia="en-US"/>
              </w:rPr>
            </w:pPr>
            <w:r>
              <w:rPr>
                <w:lang w:val="en-GB" w:eastAsia="en-US"/>
              </w:rPr>
              <w:t xml:space="preserve">The course grade will be </w:t>
            </w:r>
            <w:proofErr w:type="spellStart"/>
            <w:r>
              <w:rPr>
                <w:lang w:val="en-GB" w:eastAsia="en-US"/>
              </w:rPr>
              <w:t>base</w:t>
            </w:r>
            <w:proofErr w:type="spellEnd"/>
            <w:r>
              <w:rPr>
                <w:lang w:val="en-GB" w:eastAsia="en-US"/>
              </w:rPr>
              <w:t xml:space="preserve"> on class participation and final test exam</w:t>
            </w:r>
          </w:p>
        </w:tc>
      </w:tr>
      <w:tr w:rsidR="00023FE7" w:rsidRPr="00BB44C8" w:rsidTr="00023FE7">
        <w:tc>
          <w:tcPr>
            <w:tcW w:w="2628" w:type="dxa"/>
            <w:tcBorders>
              <w:top w:val="single" w:sz="4" w:space="0" w:color="auto"/>
              <w:left w:val="single" w:sz="4" w:space="0" w:color="auto"/>
              <w:bottom w:val="single" w:sz="4" w:space="0" w:color="auto"/>
              <w:right w:val="single" w:sz="4" w:space="0" w:color="auto"/>
            </w:tcBorders>
            <w:hideMark/>
          </w:tcPr>
          <w:p w:rsidR="00023FE7" w:rsidRDefault="00023FE7">
            <w:pPr>
              <w:spacing w:line="256" w:lineRule="auto"/>
              <w:rPr>
                <w:lang w:val="en-GB" w:eastAsia="en-US"/>
              </w:rPr>
            </w:pPr>
            <w:r>
              <w:rPr>
                <w:lang w:val="en-GB" w:eastAsia="en-US"/>
              </w:rPr>
              <w:t>16. Course outline</w:t>
            </w:r>
          </w:p>
        </w:tc>
        <w:tc>
          <w:tcPr>
            <w:tcW w:w="6584" w:type="dxa"/>
            <w:tcBorders>
              <w:top w:val="single" w:sz="4" w:space="0" w:color="auto"/>
              <w:left w:val="single" w:sz="4" w:space="0" w:color="auto"/>
              <w:bottom w:val="single" w:sz="4" w:space="0" w:color="auto"/>
              <w:right w:val="single" w:sz="4" w:space="0" w:color="auto"/>
            </w:tcBorders>
            <w:hideMark/>
          </w:tcPr>
          <w:p w:rsidR="00023FE7" w:rsidRDefault="00023FE7">
            <w:pPr>
              <w:autoSpaceDE w:val="0"/>
              <w:autoSpaceDN w:val="0"/>
              <w:adjustRightInd w:val="0"/>
              <w:spacing w:line="256" w:lineRule="auto"/>
              <w:rPr>
                <w:rFonts w:ascii="Times-Roman" w:hAnsi="Times-Roman" w:cs="Times-Roman"/>
                <w:lang w:val="en-GB" w:eastAsia="en-US"/>
              </w:rPr>
            </w:pPr>
            <w:r>
              <w:rPr>
                <w:b/>
                <w:bCs/>
                <w:lang w:val="en-GB" w:eastAsia="en-US"/>
              </w:rPr>
              <w:t>1.</w:t>
            </w:r>
            <w:r>
              <w:rPr>
                <w:lang w:val="en-GB" w:eastAsia="en-US"/>
              </w:rPr>
              <w:t xml:space="preserve"> </w:t>
            </w:r>
            <w:r>
              <w:rPr>
                <w:color w:val="000000"/>
                <w:szCs w:val="20"/>
                <w:lang w:val="en-GB" w:eastAsia="en-US"/>
              </w:rPr>
              <w:t xml:space="preserve">EU policies :regional </w:t>
            </w:r>
            <w:proofErr w:type="spellStart"/>
            <w:r>
              <w:rPr>
                <w:color w:val="000000"/>
                <w:szCs w:val="20"/>
                <w:lang w:val="en-GB" w:eastAsia="en-US"/>
              </w:rPr>
              <w:t>policy,cohesion</w:t>
            </w:r>
            <w:proofErr w:type="spellEnd"/>
            <w:r>
              <w:rPr>
                <w:color w:val="000000"/>
                <w:szCs w:val="20"/>
                <w:lang w:val="en-GB" w:eastAsia="en-US"/>
              </w:rPr>
              <w:t xml:space="preserve"> policy, structural funds of EU, further programmes and initiatives .The </w:t>
            </w:r>
            <w:proofErr w:type="spellStart"/>
            <w:r>
              <w:rPr>
                <w:color w:val="000000"/>
                <w:szCs w:val="20"/>
                <w:lang w:val="en-GB" w:eastAsia="en-US"/>
              </w:rPr>
              <w:t>tasks,principles,methods</w:t>
            </w:r>
            <w:proofErr w:type="spellEnd"/>
            <w:r>
              <w:rPr>
                <w:color w:val="000000"/>
                <w:szCs w:val="20"/>
                <w:lang w:val="en-GB" w:eastAsia="en-US"/>
              </w:rPr>
              <w:t xml:space="preserve"> and functions of the EU regional </w:t>
            </w:r>
            <w:proofErr w:type="spellStart"/>
            <w:r>
              <w:rPr>
                <w:color w:val="000000"/>
                <w:szCs w:val="20"/>
                <w:lang w:val="en-GB" w:eastAsia="en-US"/>
              </w:rPr>
              <w:t>policy.The</w:t>
            </w:r>
            <w:proofErr w:type="spellEnd"/>
            <w:r>
              <w:rPr>
                <w:color w:val="000000"/>
                <w:szCs w:val="20"/>
                <w:lang w:val="en-GB" w:eastAsia="en-US"/>
              </w:rPr>
              <w:t xml:space="preserve"> overarching priorities for the Structural Funds at the EU </w:t>
            </w:r>
            <w:proofErr w:type="spellStart"/>
            <w:r>
              <w:rPr>
                <w:color w:val="000000"/>
                <w:szCs w:val="20"/>
                <w:lang w:val="en-GB" w:eastAsia="en-US"/>
              </w:rPr>
              <w:t>level:Community</w:t>
            </w:r>
            <w:proofErr w:type="spellEnd"/>
            <w:r>
              <w:rPr>
                <w:color w:val="000000"/>
                <w:szCs w:val="20"/>
                <w:lang w:val="en-GB" w:eastAsia="en-US"/>
              </w:rPr>
              <w:t xml:space="preserve"> Strategic </w:t>
            </w:r>
            <w:proofErr w:type="spellStart"/>
            <w:r>
              <w:rPr>
                <w:color w:val="000000"/>
                <w:szCs w:val="20"/>
                <w:lang w:val="en-GB" w:eastAsia="en-US"/>
              </w:rPr>
              <w:t>Guidelines.Objectives</w:t>
            </w:r>
            <w:proofErr w:type="spellEnd"/>
            <w:r>
              <w:rPr>
                <w:color w:val="000000"/>
                <w:szCs w:val="20"/>
                <w:lang w:val="en-GB" w:eastAsia="en-US"/>
              </w:rPr>
              <w:t xml:space="preserve"> for 2014-2020:Convergence </w:t>
            </w:r>
            <w:proofErr w:type="spellStart"/>
            <w:r>
              <w:rPr>
                <w:color w:val="000000"/>
                <w:szCs w:val="20"/>
                <w:lang w:val="en-GB" w:eastAsia="en-US"/>
              </w:rPr>
              <w:t>Objective;Regional</w:t>
            </w:r>
            <w:proofErr w:type="spellEnd"/>
            <w:r>
              <w:rPr>
                <w:color w:val="000000"/>
                <w:szCs w:val="20"/>
                <w:lang w:val="en-GB" w:eastAsia="en-US"/>
              </w:rPr>
              <w:t xml:space="preserve"> Competitiveness and Employment </w:t>
            </w:r>
            <w:proofErr w:type="spellStart"/>
            <w:r>
              <w:rPr>
                <w:color w:val="000000"/>
                <w:szCs w:val="20"/>
                <w:lang w:val="en-GB" w:eastAsia="en-US"/>
              </w:rPr>
              <w:t>Objective;Territorial</w:t>
            </w:r>
            <w:proofErr w:type="spellEnd"/>
            <w:r>
              <w:rPr>
                <w:color w:val="000000"/>
                <w:szCs w:val="20"/>
                <w:lang w:val="en-GB" w:eastAsia="en-US"/>
              </w:rPr>
              <w:t xml:space="preserve"> Cooperation Objective</w:t>
            </w:r>
            <w:r>
              <w:rPr>
                <w:color w:val="000000"/>
                <w:szCs w:val="20"/>
                <w:lang w:val="en-GB" w:eastAsia="en-US"/>
              </w:rPr>
              <w:br/>
            </w:r>
            <w:r>
              <w:rPr>
                <w:b/>
                <w:bCs/>
                <w:color w:val="000000"/>
                <w:szCs w:val="20"/>
                <w:lang w:val="en-GB" w:eastAsia="en-US"/>
              </w:rPr>
              <w:t>2.</w:t>
            </w:r>
            <w:r>
              <w:rPr>
                <w:color w:val="000000"/>
                <w:szCs w:val="20"/>
                <w:lang w:val="en-GB" w:eastAsia="en-US"/>
              </w:rPr>
              <w:t xml:space="preserve">Poland (and each member states) and EU – programming period (system of regional aid in Poland .National Level :developing National Strategic Reference </w:t>
            </w:r>
            <w:proofErr w:type="spellStart"/>
            <w:r>
              <w:rPr>
                <w:color w:val="000000"/>
                <w:szCs w:val="20"/>
                <w:lang w:val="en-GB" w:eastAsia="en-US"/>
              </w:rPr>
              <w:t>Framework.Regional</w:t>
            </w:r>
            <w:proofErr w:type="spellEnd"/>
            <w:r>
              <w:rPr>
                <w:color w:val="000000"/>
                <w:szCs w:val="20"/>
                <w:lang w:val="en-GB" w:eastAsia="en-US"/>
              </w:rPr>
              <w:t xml:space="preserve"> </w:t>
            </w:r>
            <w:proofErr w:type="spellStart"/>
            <w:r>
              <w:rPr>
                <w:color w:val="000000"/>
                <w:szCs w:val="20"/>
                <w:lang w:val="en-GB" w:eastAsia="en-US"/>
              </w:rPr>
              <w:t>Level:Operational</w:t>
            </w:r>
            <w:proofErr w:type="spellEnd"/>
            <w:r>
              <w:rPr>
                <w:color w:val="000000"/>
                <w:szCs w:val="20"/>
                <w:lang w:val="en-GB" w:eastAsia="en-US"/>
              </w:rPr>
              <w:t xml:space="preserve"> Programmes</w:t>
            </w:r>
            <w:r>
              <w:rPr>
                <w:color w:val="000000"/>
                <w:szCs w:val="20"/>
                <w:lang w:val="en-GB" w:eastAsia="en-US"/>
              </w:rPr>
              <w:br/>
            </w:r>
            <w:r>
              <w:rPr>
                <w:b/>
                <w:bCs/>
                <w:color w:val="000000"/>
                <w:szCs w:val="20"/>
                <w:lang w:val="en-GB" w:eastAsia="en-US"/>
              </w:rPr>
              <w:t>3</w:t>
            </w:r>
            <w:r>
              <w:rPr>
                <w:color w:val="000000"/>
                <w:szCs w:val="20"/>
                <w:lang w:val="en-GB" w:eastAsia="en-US"/>
              </w:rPr>
              <w:t xml:space="preserve">.Structural funds :The European Regional Development Fund(ERDF);The European Social Fund(ESF). Navigating the system of structural funds and other funding schemes of the </w:t>
            </w:r>
            <w:proofErr w:type="spellStart"/>
            <w:r>
              <w:rPr>
                <w:color w:val="000000"/>
                <w:szCs w:val="20"/>
                <w:lang w:val="en-GB" w:eastAsia="en-US"/>
              </w:rPr>
              <w:t>EU.Other</w:t>
            </w:r>
            <w:proofErr w:type="spellEnd"/>
            <w:r>
              <w:rPr>
                <w:color w:val="000000"/>
                <w:szCs w:val="20"/>
                <w:lang w:val="en-GB" w:eastAsia="en-US"/>
              </w:rPr>
              <w:t xml:space="preserve"> funding instruments (non-structural funds)</w:t>
            </w:r>
            <w:proofErr w:type="gramStart"/>
            <w:r>
              <w:rPr>
                <w:color w:val="000000"/>
                <w:szCs w:val="20"/>
                <w:lang w:val="en-GB" w:eastAsia="en-US"/>
              </w:rPr>
              <w:t>:European</w:t>
            </w:r>
            <w:proofErr w:type="gramEnd"/>
            <w:r>
              <w:rPr>
                <w:color w:val="000000"/>
                <w:szCs w:val="20"/>
                <w:lang w:val="en-GB" w:eastAsia="en-US"/>
              </w:rPr>
              <w:t xml:space="preserve"> Agricultural Fund for Rural Development and European Fisheries </w:t>
            </w:r>
            <w:proofErr w:type="spellStart"/>
            <w:r>
              <w:rPr>
                <w:color w:val="000000"/>
                <w:szCs w:val="20"/>
                <w:lang w:val="en-GB" w:eastAsia="en-US"/>
              </w:rPr>
              <w:t>Fund.Supporting</w:t>
            </w:r>
            <w:proofErr w:type="spellEnd"/>
            <w:r>
              <w:rPr>
                <w:color w:val="000000"/>
                <w:szCs w:val="20"/>
                <w:lang w:val="en-GB" w:eastAsia="en-US"/>
              </w:rPr>
              <w:t xml:space="preserve"> role of other non-EU financial </w:t>
            </w:r>
            <w:proofErr w:type="spellStart"/>
            <w:r>
              <w:rPr>
                <w:color w:val="000000"/>
                <w:szCs w:val="20"/>
                <w:lang w:val="en-GB" w:eastAsia="en-US"/>
              </w:rPr>
              <w:t>instruments:Norwegian</w:t>
            </w:r>
            <w:proofErr w:type="spellEnd"/>
            <w:r>
              <w:rPr>
                <w:color w:val="000000"/>
                <w:szCs w:val="20"/>
                <w:lang w:val="en-GB" w:eastAsia="en-US"/>
              </w:rPr>
              <w:t xml:space="preserve"> Financial Mechanism and Financial Mechanism of European Economic Area. Implementation of Structural Funds in Poland (authorities, structure, documents, information sources (EU portals and other sources).The Cohesion Fund and its special role in  interventions in the field of the environment and </w:t>
            </w:r>
            <w:proofErr w:type="spellStart"/>
            <w:r>
              <w:rPr>
                <w:color w:val="000000"/>
                <w:szCs w:val="20"/>
                <w:lang w:val="en-GB" w:eastAsia="en-US"/>
              </w:rPr>
              <w:t>transeuropean</w:t>
            </w:r>
            <w:proofErr w:type="spellEnd"/>
            <w:r>
              <w:rPr>
                <w:color w:val="000000"/>
                <w:szCs w:val="20"/>
                <w:lang w:val="en-GB" w:eastAsia="en-US"/>
              </w:rPr>
              <w:t xml:space="preserve"> transport networks.</w:t>
            </w:r>
            <w:r>
              <w:rPr>
                <w:rFonts w:ascii="Arial" w:hAnsi="Arial" w:cs="Arial"/>
                <w:color w:val="000000"/>
                <w:sz w:val="20"/>
                <w:szCs w:val="20"/>
                <w:lang w:val="en-GB" w:eastAsia="en-US"/>
              </w:rPr>
              <w:br/>
            </w:r>
            <w:r>
              <w:rPr>
                <w:rFonts w:ascii="Arial" w:hAnsi="Arial" w:cs="Arial"/>
                <w:b/>
                <w:bCs/>
                <w:color w:val="000000"/>
                <w:sz w:val="20"/>
                <w:szCs w:val="20"/>
                <w:lang w:val="en-GB" w:eastAsia="en-US"/>
              </w:rPr>
              <w:t>4</w:t>
            </w:r>
            <w:r>
              <w:rPr>
                <w:rFonts w:ascii="Arial" w:hAnsi="Arial" w:cs="Arial"/>
                <w:color w:val="000000"/>
                <w:sz w:val="20"/>
                <w:szCs w:val="20"/>
                <w:lang w:val="en-GB" w:eastAsia="en-US"/>
              </w:rPr>
              <w:t>.</w:t>
            </w:r>
            <w:r>
              <w:rPr>
                <w:color w:val="000000"/>
                <w:szCs w:val="20"/>
                <w:lang w:val="en-GB" w:eastAsia="en-US"/>
              </w:rPr>
              <w:t xml:space="preserve">Application for funding from Structural Funds – preparing a proposal, finishing application, developing budget, annexes, statistics, feasibility studies, cost-benefit analysis and other documents </w:t>
            </w:r>
            <w:r>
              <w:rPr>
                <w:color w:val="000000"/>
                <w:szCs w:val="20"/>
                <w:lang w:val="en-GB" w:eastAsia="en-US"/>
              </w:rPr>
              <w:br/>
            </w:r>
            <w:r>
              <w:rPr>
                <w:b/>
                <w:bCs/>
                <w:color w:val="000000"/>
                <w:szCs w:val="20"/>
                <w:lang w:val="en-GB" w:eastAsia="en-US"/>
              </w:rPr>
              <w:t>5</w:t>
            </w:r>
            <w:r>
              <w:rPr>
                <w:color w:val="000000"/>
                <w:szCs w:val="20"/>
                <w:lang w:val="en-GB" w:eastAsia="en-US"/>
              </w:rPr>
              <w:t xml:space="preserve">.Project management (specifics of management of publicly funded </w:t>
            </w:r>
            <w:r>
              <w:rPr>
                <w:color w:val="000000"/>
                <w:szCs w:val="20"/>
                <w:lang w:val="en-GB" w:eastAsia="en-US"/>
              </w:rPr>
              <w:lastRenderedPageBreak/>
              <w:t xml:space="preserve">projects), project reports, termination of the project, using software to support project management </w:t>
            </w:r>
            <w:r>
              <w:rPr>
                <w:color w:val="000000"/>
                <w:szCs w:val="20"/>
                <w:lang w:val="en-GB" w:eastAsia="en-US"/>
              </w:rPr>
              <w:br/>
            </w:r>
            <w:r>
              <w:rPr>
                <w:b/>
                <w:bCs/>
                <w:color w:val="000000"/>
                <w:szCs w:val="20"/>
                <w:lang w:val="en-GB" w:eastAsia="en-US"/>
              </w:rPr>
              <w:t>6</w:t>
            </w:r>
            <w:r>
              <w:rPr>
                <w:color w:val="000000"/>
                <w:szCs w:val="20"/>
                <w:lang w:val="en-GB" w:eastAsia="en-US"/>
              </w:rPr>
              <w:t>.Multiplication effects and sustainability – brainstorming for project ideas, preparing the project proposal, choice of funding scheme, formation of project consortia</w:t>
            </w:r>
          </w:p>
        </w:tc>
      </w:tr>
      <w:tr w:rsidR="00023FE7" w:rsidRPr="00BB44C8" w:rsidTr="00023FE7">
        <w:tc>
          <w:tcPr>
            <w:tcW w:w="2628" w:type="dxa"/>
            <w:tcBorders>
              <w:top w:val="single" w:sz="4" w:space="0" w:color="auto"/>
              <w:left w:val="single" w:sz="4" w:space="0" w:color="auto"/>
              <w:bottom w:val="single" w:sz="4" w:space="0" w:color="auto"/>
              <w:right w:val="single" w:sz="4" w:space="0" w:color="auto"/>
            </w:tcBorders>
            <w:hideMark/>
          </w:tcPr>
          <w:p w:rsidR="00023FE7" w:rsidRDefault="00023FE7">
            <w:pPr>
              <w:spacing w:line="256" w:lineRule="auto"/>
              <w:rPr>
                <w:lang w:val="en-GB" w:eastAsia="en-US"/>
              </w:rPr>
            </w:pPr>
            <w:r>
              <w:rPr>
                <w:lang w:val="en-GB" w:eastAsia="en-US"/>
              </w:rPr>
              <w:lastRenderedPageBreak/>
              <w:t>17. Course material</w:t>
            </w:r>
          </w:p>
        </w:tc>
        <w:tc>
          <w:tcPr>
            <w:tcW w:w="6584" w:type="dxa"/>
            <w:tcBorders>
              <w:top w:val="single" w:sz="4" w:space="0" w:color="auto"/>
              <w:left w:val="single" w:sz="4" w:space="0" w:color="auto"/>
              <w:bottom w:val="single" w:sz="4" w:space="0" w:color="auto"/>
              <w:right w:val="single" w:sz="4" w:space="0" w:color="auto"/>
            </w:tcBorders>
          </w:tcPr>
          <w:p w:rsidR="00023FE7" w:rsidRDefault="00023FE7">
            <w:pPr>
              <w:spacing w:line="256" w:lineRule="auto"/>
              <w:rPr>
                <w:lang w:val="en-GB" w:eastAsia="en-US"/>
              </w:rPr>
            </w:pPr>
            <w:r>
              <w:rPr>
                <w:lang w:val="en-GB" w:eastAsia="en-US"/>
              </w:rPr>
              <w:t>http://ec.europa.eu/regional_policy/index.cfm/en/information/legislation/guidance/</w:t>
            </w:r>
          </w:p>
          <w:p w:rsidR="00023FE7" w:rsidRDefault="00023FE7">
            <w:pPr>
              <w:spacing w:line="256" w:lineRule="auto"/>
              <w:rPr>
                <w:lang w:val="en-GB" w:eastAsia="en-US"/>
              </w:rPr>
            </w:pPr>
          </w:p>
          <w:p w:rsidR="00023FE7" w:rsidRDefault="00023FE7">
            <w:pPr>
              <w:spacing w:line="256" w:lineRule="auto"/>
              <w:rPr>
                <w:lang w:val="en-GB" w:eastAsia="en-US"/>
              </w:rPr>
            </w:pPr>
          </w:p>
          <w:p w:rsidR="00023FE7" w:rsidRDefault="00023FE7">
            <w:pPr>
              <w:spacing w:line="256" w:lineRule="auto"/>
              <w:rPr>
                <w:lang w:val="en-GB" w:eastAsia="en-US"/>
              </w:rPr>
            </w:pPr>
            <w:r>
              <w:rPr>
                <w:lang w:val="en-GB" w:eastAsia="en-US"/>
              </w:rPr>
              <w:t>http://eur-lex.europa.eu/legal-content/EN/TXT/?uri=OJ:L:2013:347:TOC</w:t>
            </w:r>
          </w:p>
          <w:p w:rsidR="00023FE7" w:rsidRDefault="00023FE7">
            <w:pPr>
              <w:spacing w:line="256" w:lineRule="auto"/>
              <w:rPr>
                <w:lang w:val="en-GB" w:eastAsia="en-US"/>
              </w:rPr>
            </w:pPr>
          </w:p>
          <w:p w:rsidR="00023FE7" w:rsidRDefault="00023FE7">
            <w:pPr>
              <w:spacing w:line="256" w:lineRule="auto"/>
              <w:rPr>
                <w:lang w:val="en-GB" w:eastAsia="en-US"/>
              </w:rPr>
            </w:pPr>
          </w:p>
          <w:p w:rsidR="00023FE7" w:rsidRDefault="00023FE7">
            <w:pPr>
              <w:spacing w:line="256" w:lineRule="auto"/>
              <w:rPr>
                <w:lang w:val="en-GB" w:eastAsia="en-US"/>
              </w:rPr>
            </w:pPr>
            <w:r>
              <w:rPr>
                <w:lang w:val="en-GB" w:eastAsia="en-US"/>
              </w:rPr>
              <w:t>http://ec.europa.eu/regional_policy/index.cfm/en/atlas/programmes/</w:t>
            </w:r>
          </w:p>
          <w:p w:rsidR="00023FE7" w:rsidRDefault="00023FE7">
            <w:pPr>
              <w:spacing w:line="256" w:lineRule="auto"/>
              <w:rPr>
                <w:lang w:val="en-GB" w:eastAsia="en-US"/>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05"/>
              <w:gridCol w:w="7236"/>
            </w:tblGrid>
            <w:tr w:rsidR="00023FE7" w:rsidRPr="00BB44C8">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23FE7" w:rsidRDefault="00023FE7">
                  <w:pPr>
                    <w:spacing w:before="180" w:after="120" w:line="312" w:lineRule="atLeast"/>
                    <w:jc w:val="center"/>
                    <w:rPr>
                      <w:b/>
                      <w:bCs/>
                      <w:color w:val="444444"/>
                      <w:sz w:val="20"/>
                      <w:szCs w:val="20"/>
                      <w:lang w:eastAsia="en-US"/>
                    </w:rPr>
                  </w:pPr>
                  <w:r>
                    <w:rPr>
                      <w:b/>
                      <w:bCs/>
                      <w:color w:val="444444"/>
                      <w:sz w:val="20"/>
                      <w:szCs w:val="20"/>
                      <w:lang w:eastAsia="en-US"/>
                    </w:rPr>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23FE7" w:rsidRDefault="00BB44C8">
                  <w:pPr>
                    <w:spacing w:before="180" w:after="120" w:line="312" w:lineRule="atLeast"/>
                    <w:jc w:val="both"/>
                    <w:rPr>
                      <w:b/>
                      <w:bCs/>
                      <w:color w:val="444444"/>
                      <w:sz w:val="20"/>
                      <w:szCs w:val="20"/>
                      <w:lang w:val="en-US" w:eastAsia="en-US"/>
                    </w:rPr>
                  </w:pPr>
                  <w:hyperlink r:id="rId4" w:history="1">
                    <w:r w:rsidR="00023FE7">
                      <w:rPr>
                        <w:rStyle w:val="Hipercze"/>
                        <w:b/>
                        <w:bCs/>
                        <w:color w:val="000000"/>
                        <w:sz w:val="20"/>
                        <w:szCs w:val="20"/>
                        <w:u w:val="none"/>
                        <w:lang w:val="en-US" w:eastAsia="en-US"/>
                      </w:rPr>
                      <w:t>Regulation (EU) No 1300/2013 of the European Parliament and of the Council of 17 December 2013 on the Cohesion Fund and repealing Council Regulation (EC) No 1084/2006</w:t>
                    </w:r>
                  </w:hyperlink>
                  <w:r w:rsidR="00023FE7">
                    <w:rPr>
                      <w:b/>
                      <w:bCs/>
                      <w:color w:val="444444"/>
                      <w:sz w:val="20"/>
                      <w:szCs w:val="20"/>
                      <w:lang w:val="en-US" w:eastAsia="en-US"/>
                    </w:rPr>
                    <w:t xml:space="preserve"> </w:t>
                  </w:r>
                </w:p>
              </w:tc>
            </w:tr>
            <w:tr w:rsidR="00023FE7" w:rsidRPr="00BB44C8">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23FE7" w:rsidRDefault="00023FE7">
                  <w:pPr>
                    <w:spacing w:before="180" w:after="120" w:line="312" w:lineRule="atLeast"/>
                    <w:jc w:val="center"/>
                    <w:rPr>
                      <w:b/>
                      <w:bCs/>
                      <w:color w:val="444444"/>
                      <w:sz w:val="20"/>
                      <w:szCs w:val="20"/>
                      <w:lang w:eastAsia="en-US"/>
                    </w:rPr>
                  </w:pPr>
                  <w:r>
                    <w:rPr>
                      <w:b/>
                      <w:bCs/>
                      <w:color w:val="444444"/>
                      <w:sz w:val="20"/>
                      <w:szCs w:val="20"/>
                      <w:lang w:eastAsia="en-US"/>
                    </w:rPr>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23FE7" w:rsidRDefault="00BB44C8">
                  <w:pPr>
                    <w:spacing w:before="180" w:after="120" w:line="312" w:lineRule="atLeast"/>
                    <w:jc w:val="both"/>
                    <w:rPr>
                      <w:b/>
                      <w:bCs/>
                      <w:color w:val="444444"/>
                      <w:sz w:val="20"/>
                      <w:szCs w:val="20"/>
                      <w:lang w:val="en-US" w:eastAsia="en-US"/>
                    </w:rPr>
                  </w:pPr>
                  <w:hyperlink r:id="rId5" w:history="1">
                    <w:r w:rsidR="00023FE7">
                      <w:rPr>
                        <w:rStyle w:val="Hipercze"/>
                        <w:b/>
                        <w:bCs/>
                        <w:color w:val="000000"/>
                        <w:sz w:val="20"/>
                        <w:szCs w:val="20"/>
                        <w:u w:val="none"/>
                        <w:lang w:val="en-US" w:eastAsia="en-US"/>
                      </w:rPr>
                      <w:t>Regulation (EU) No 1301/2013 of the European Parliament and of the Council of 17 December 2013 on the European Regional Development Fund and on specific provisions concerning the Investment for growth and jobs goal and repealing Regulation (EC) No 1080/2006</w:t>
                    </w:r>
                  </w:hyperlink>
                  <w:r w:rsidR="00023FE7">
                    <w:rPr>
                      <w:b/>
                      <w:bCs/>
                      <w:color w:val="444444"/>
                      <w:sz w:val="20"/>
                      <w:szCs w:val="20"/>
                      <w:lang w:val="en-US" w:eastAsia="en-US"/>
                    </w:rPr>
                    <w:t xml:space="preserve"> </w:t>
                  </w:r>
                </w:p>
              </w:tc>
            </w:tr>
            <w:tr w:rsidR="00023FE7" w:rsidRPr="00BB44C8">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23FE7" w:rsidRDefault="00023FE7">
                  <w:pPr>
                    <w:spacing w:before="180" w:after="120" w:line="312" w:lineRule="atLeast"/>
                    <w:jc w:val="center"/>
                    <w:rPr>
                      <w:b/>
                      <w:bCs/>
                      <w:color w:val="444444"/>
                      <w:sz w:val="20"/>
                      <w:szCs w:val="20"/>
                      <w:lang w:eastAsia="en-US"/>
                    </w:rPr>
                  </w:pPr>
                  <w:r>
                    <w:rPr>
                      <w:b/>
                      <w:bCs/>
                      <w:color w:val="444444"/>
                      <w:sz w:val="20"/>
                      <w:szCs w:val="20"/>
                      <w:lang w:eastAsia="en-US"/>
                    </w:rPr>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23FE7" w:rsidRDefault="00BB44C8">
                  <w:pPr>
                    <w:spacing w:before="180" w:after="120" w:line="312" w:lineRule="atLeast"/>
                    <w:jc w:val="both"/>
                    <w:rPr>
                      <w:b/>
                      <w:bCs/>
                      <w:color w:val="444444"/>
                      <w:sz w:val="20"/>
                      <w:szCs w:val="20"/>
                      <w:lang w:val="en-US" w:eastAsia="en-US"/>
                    </w:rPr>
                  </w:pPr>
                  <w:hyperlink r:id="rId6" w:history="1">
                    <w:r w:rsidR="00023FE7">
                      <w:rPr>
                        <w:rStyle w:val="Hipercze"/>
                        <w:b/>
                        <w:bCs/>
                        <w:color w:val="000000"/>
                        <w:sz w:val="20"/>
                        <w:szCs w:val="20"/>
                        <w:u w:val="none"/>
                        <w:lang w:val="en-US" w:eastAsia="en-US"/>
                      </w:rPr>
                      <w:t xml:space="preserve">Regulation (EU) No 1302/2013 of the </w:t>
                    </w:r>
                    <w:proofErr w:type="spellStart"/>
                    <w:r w:rsidR="00023FE7">
                      <w:rPr>
                        <w:rStyle w:val="Hipercze"/>
                        <w:b/>
                        <w:bCs/>
                        <w:color w:val="000000"/>
                        <w:sz w:val="20"/>
                        <w:szCs w:val="20"/>
                        <w:u w:val="none"/>
                        <w:lang w:val="en-US" w:eastAsia="en-US"/>
                      </w:rPr>
                      <w:t>european</w:t>
                    </w:r>
                    <w:proofErr w:type="spellEnd"/>
                    <w:r w:rsidR="00023FE7">
                      <w:rPr>
                        <w:rStyle w:val="Hipercze"/>
                        <w:b/>
                        <w:bCs/>
                        <w:color w:val="000000"/>
                        <w:sz w:val="20"/>
                        <w:szCs w:val="20"/>
                        <w:u w:val="none"/>
                        <w:lang w:val="en-US" w:eastAsia="en-US"/>
                      </w:rPr>
                      <w:t xml:space="preserve"> Parliament and of the Council of 17 December 2013 amending Regulation (EC) No 1082/2006 on a European grouping of territorial cooperation (EGTC) as regards the clarification, simplification and improvement of the establishment and functioning of such groupings</w:t>
                    </w:r>
                  </w:hyperlink>
                  <w:r w:rsidR="00023FE7">
                    <w:rPr>
                      <w:b/>
                      <w:bCs/>
                      <w:color w:val="444444"/>
                      <w:sz w:val="20"/>
                      <w:szCs w:val="20"/>
                      <w:lang w:val="en-US" w:eastAsia="en-US"/>
                    </w:rPr>
                    <w:t xml:space="preserve"> </w:t>
                  </w:r>
                </w:p>
              </w:tc>
            </w:tr>
            <w:tr w:rsidR="00023FE7" w:rsidRPr="00BB44C8">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23FE7" w:rsidRDefault="00023FE7">
                  <w:pPr>
                    <w:spacing w:before="180" w:after="120" w:line="312" w:lineRule="atLeast"/>
                    <w:jc w:val="center"/>
                    <w:rPr>
                      <w:b/>
                      <w:bCs/>
                      <w:color w:val="444444"/>
                      <w:sz w:val="20"/>
                      <w:szCs w:val="20"/>
                      <w:lang w:eastAsia="en-US"/>
                    </w:rPr>
                  </w:pPr>
                  <w:r>
                    <w:rPr>
                      <w:b/>
                      <w:bCs/>
                      <w:color w:val="444444"/>
                      <w:sz w:val="20"/>
                      <w:szCs w:val="20"/>
                      <w:lang w:eastAsia="en-US"/>
                    </w:rPr>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23FE7" w:rsidRDefault="00BB44C8">
                  <w:pPr>
                    <w:spacing w:before="180" w:after="120" w:line="312" w:lineRule="atLeast"/>
                    <w:jc w:val="both"/>
                    <w:rPr>
                      <w:b/>
                      <w:bCs/>
                      <w:color w:val="444444"/>
                      <w:sz w:val="20"/>
                      <w:szCs w:val="20"/>
                      <w:lang w:val="en-US" w:eastAsia="en-US"/>
                    </w:rPr>
                  </w:pPr>
                  <w:hyperlink r:id="rId7" w:history="1">
                    <w:r w:rsidR="00023FE7">
                      <w:rPr>
                        <w:rStyle w:val="Hipercze"/>
                        <w:b/>
                        <w:bCs/>
                        <w:color w:val="000000"/>
                        <w:sz w:val="20"/>
                        <w:szCs w:val="20"/>
                        <w:u w:val="none"/>
                        <w:lang w:val="en-US" w:eastAsia="en-US"/>
                      </w:rPr>
                      <w:t>Regulation (EU) No 1303/2013 of the European Parliament and of the Council of 17 December 2013 laying down common provisions on the European Regional Development Fund, the European Social Fund, the Cohesion Fund, the European Agricultural Fund for Rural Development and the European Maritime and Fisheries Fund and laying down general provisions on the European Regional Development Fund, the European Social Fund, the Cohesion Fund and the European Maritime and Fisheries Fund and repealing Council Regulation (EC) No 1083/2006</w:t>
                    </w:r>
                  </w:hyperlink>
                  <w:r w:rsidR="00023FE7">
                    <w:rPr>
                      <w:b/>
                      <w:bCs/>
                      <w:color w:val="444444"/>
                      <w:sz w:val="20"/>
                      <w:szCs w:val="20"/>
                      <w:lang w:val="en-US" w:eastAsia="en-US"/>
                    </w:rPr>
                    <w:t xml:space="preserve"> </w:t>
                  </w:r>
                </w:p>
              </w:tc>
            </w:tr>
            <w:tr w:rsidR="00023FE7" w:rsidRPr="00BB44C8">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23FE7" w:rsidRDefault="00023FE7">
                  <w:pPr>
                    <w:spacing w:before="180" w:after="120" w:line="312" w:lineRule="atLeast"/>
                    <w:jc w:val="center"/>
                    <w:rPr>
                      <w:b/>
                      <w:bCs/>
                      <w:color w:val="444444"/>
                      <w:sz w:val="20"/>
                      <w:szCs w:val="20"/>
                      <w:lang w:eastAsia="en-US"/>
                    </w:rPr>
                  </w:pPr>
                  <w:r>
                    <w:rPr>
                      <w:b/>
                      <w:bCs/>
                      <w:color w:val="444444"/>
                      <w:sz w:val="20"/>
                      <w:szCs w:val="20"/>
                      <w:lang w:eastAsia="en-US"/>
                    </w:rPr>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23FE7" w:rsidRDefault="00BB44C8">
                  <w:pPr>
                    <w:spacing w:before="180" w:after="120" w:line="312" w:lineRule="atLeast"/>
                    <w:jc w:val="both"/>
                    <w:rPr>
                      <w:b/>
                      <w:bCs/>
                      <w:color w:val="444444"/>
                      <w:sz w:val="20"/>
                      <w:szCs w:val="20"/>
                      <w:lang w:val="en-US" w:eastAsia="en-US"/>
                    </w:rPr>
                  </w:pPr>
                  <w:hyperlink r:id="rId8" w:history="1">
                    <w:r w:rsidR="00023FE7">
                      <w:rPr>
                        <w:rStyle w:val="Hipercze"/>
                        <w:b/>
                        <w:bCs/>
                        <w:color w:val="000000"/>
                        <w:sz w:val="20"/>
                        <w:szCs w:val="20"/>
                        <w:u w:val="none"/>
                        <w:lang w:val="en-US" w:eastAsia="en-US"/>
                      </w:rPr>
                      <w:t>Regulation (EU) No 1304/2013 of the European Parliament and of the Council of 17 December 2013 on the European Social Fund and repealing Council Regulation (EC) No 1081/2006</w:t>
                    </w:r>
                  </w:hyperlink>
                  <w:r w:rsidR="00023FE7">
                    <w:rPr>
                      <w:b/>
                      <w:bCs/>
                      <w:color w:val="444444"/>
                      <w:sz w:val="20"/>
                      <w:szCs w:val="20"/>
                      <w:lang w:val="en-US" w:eastAsia="en-US"/>
                    </w:rPr>
                    <w:t xml:space="preserve"> </w:t>
                  </w:r>
                </w:p>
              </w:tc>
            </w:tr>
          </w:tbl>
          <w:p w:rsidR="00023FE7" w:rsidRDefault="00023FE7">
            <w:pPr>
              <w:spacing w:line="256" w:lineRule="auto"/>
              <w:rPr>
                <w:lang w:val="en-US" w:eastAsia="en-US"/>
              </w:rPr>
            </w:pPr>
          </w:p>
          <w:p w:rsidR="00023FE7" w:rsidRDefault="00023FE7">
            <w:pPr>
              <w:spacing w:line="256" w:lineRule="auto"/>
              <w:rPr>
                <w:lang w:val="en-GB" w:eastAsia="en-US"/>
              </w:rPr>
            </w:pPr>
            <w:r>
              <w:rPr>
                <w:lang w:val="en-GB" w:eastAsia="en-US"/>
              </w:rPr>
              <w:t xml:space="preserve">European </w:t>
            </w:r>
            <w:proofErr w:type="spellStart"/>
            <w:r>
              <w:rPr>
                <w:lang w:val="en-GB" w:eastAsia="en-US"/>
              </w:rPr>
              <w:t>Commission.Aid</w:t>
            </w:r>
            <w:proofErr w:type="spellEnd"/>
            <w:r>
              <w:rPr>
                <w:lang w:val="en-GB" w:eastAsia="en-US"/>
              </w:rPr>
              <w:t xml:space="preserve"> Delivery Methods.Vol.1 Project Cycle Management </w:t>
            </w:r>
            <w:proofErr w:type="spellStart"/>
            <w:r>
              <w:rPr>
                <w:lang w:val="en-GB" w:eastAsia="en-US"/>
              </w:rPr>
              <w:t>Guidelines,Brussels,March</w:t>
            </w:r>
            <w:proofErr w:type="spellEnd"/>
            <w:r>
              <w:rPr>
                <w:lang w:val="en-GB" w:eastAsia="en-US"/>
              </w:rPr>
              <w:t xml:space="preserve"> 2004</w:t>
            </w:r>
          </w:p>
          <w:p w:rsidR="00023FE7" w:rsidRDefault="00023FE7">
            <w:pPr>
              <w:spacing w:line="256" w:lineRule="auto"/>
              <w:rPr>
                <w:lang w:val="en-GB" w:eastAsia="en-US"/>
              </w:rPr>
            </w:pPr>
          </w:p>
          <w:p w:rsidR="00023FE7" w:rsidRDefault="00023FE7">
            <w:pPr>
              <w:spacing w:line="256" w:lineRule="auto"/>
              <w:rPr>
                <w:lang w:val="en-GB" w:eastAsia="en-US"/>
              </w:rPr>
            </w:pPr>
          </w:p>
          <w:p w:rsidR="00023FE7" w:rsidRDefault="00023FE7">
            <w:pPr>
              <w:spacing w:line="256" w:lineRule="auto"/>
              <w:rPr>
                <w:lang w:val="en-GB" w:eastAsia="en-US"/>
              </w:rPr>
            </w:pPr>
          </w:p>
          <w:p w:rsidR="00023FE7" w:rsidRDefault="00023FE7">
            <w:pPr>
              <w:spacing w:line="256" w:lineRule="auto"/>
              <w:rPr>
                <w:lang w:val="en-GB" w:eastAsia="en-US"/>
              </w:rPr>
            </w:pPr>
          </w:p>
          <w:p w:rsidR="00023FE7" w:rsidRDefault="00023FE7">
            <w:pPr>
              <w:spacing w:line="256" w:lineRule="auto"/>
              <w:rPr>
                <w:lang w:val="en-GB" w:eastAsia="en-US"/>
              </w:rPr>
            </w:pPr>
          </w:p>
          <w:p w:rsidR="00023FE7" w:rsidRDefault="00023FE7">
            <w:pPr>
              <w:spacing w:line="256" w:lineRule="auto"/>
              <w:rPr>
                <w:lang w:val="en-GB" w:eastAsia="en-US"/>
              </w:rPr>
            </w:pPr>
          </w:p>
        </w:tc>
      </w:tr>
    </w:tbl>
    <w:p w:rsidR="00023FE7" w:rsidRPr="00023FE7" w:rsidRDefault="00023FE7">
      <w:pPr>
        <w:rPr>
          <w:lang w:val="en-US"/>
        </w:rPr>
      </w:pPr>
    </w:p>
    <w:sectPr w:rsidR="00023FE7" w:rsidRPr="00023F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Helvetica">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Times-Roman">
    <w:altName w:val="Times New Roman"/>
    <w:panose1 w:val="00000000000000000000"/>
    <w:charset w:val="00"/>
    <w:family w:val="auto"/>
    <w:notTrueType/>
    <w:pitch w:val="default"/>
    <w:sig w:usb0="00000007" w:usb1="00000000" w:usb2="00000000" w:usb3="00000000" w:csb0="00000003"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B88"/>
    <w:rsid w:val="00023FE7"/>
    <w:rsid w:val="00266B88"/>
    <w:rsid w:val="00957D7E"/>
    <w:rsid w:val="00BB44C8"/>
    <w:rsid w:val="00D24A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4C75CC-61E6-4CBF-A6B1-C71A06A0C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23FE7"/>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HTML-wstpniesformatowany">
    <w:name w:val="HTML Preformatted"/>
    <w:basedOn w:val="Normalny"/>
    <w:link w:val="HTML-wstpniesformatowanyZnak"/>
    <w:semiHidden/>
    <w:unhideWhenUsed/>
    <w:rsid w:val="00023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Helvetica" w:eastAsia="Courier New" w:hAnsi="Helvetica" w:cs="Courier New"/>
      <w:color w:val="000000"/>
      <w:sz w:val="20"/>
      <w:szCs w:val="20"/>
    </w:rPr>
  </w:style>
  <w:style w:type="character" w:customStyle="1" w:styleId="HTML-wstpniesformatowanyZnak">
    <w:name w:val="HTML - wstępnie sformatowany Znak"/>
    <w:basedOn w:val="Domylnaczcionkaakapitu"/>
    <w:link w:val="HTML-wstpniesformatowany"/>
    <w:semiHidden/>
    <w:rsid w:val="00023FE7"/>
    <w:rPr>
      <w:rFonts w:ascii="Helvetica" w:eastAsia="Courier New" w:hAnsi="Helvetica" w:cs="Courier New"/>
      <w:color w:val="000000"/>
      <w:sz w:val="20"/>
      <w:szCs w:val="20"/>
      <w:lang w:eastAsia="pl-PL"/>
    </w:rPr>
  </w:style>
  <w:style w:type="character" w:styleId="Hipercze">
    <w:name w:val="Hyperlink"/>
    <w:basedOn w:val="Domylnaczcionkaakapitu"/>
    <w:uiPriority w:val="99"/>
    <w:semiHidden/>
    <w:unhideWhenUsed/>
    <w:rsid w:val="00023FE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301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ew.eur-lex.europa.eu/legal-content/EN/AUTO/?uri=uriserv:OJ.L_.2013.347.01.0470.01.ENG" TargetMode="External"/><Relationship Id="rId3" Type="http://schemas.openxmlformats.org/officeDocument/2006/relationships/webSettings" Target="webSettings.xml"/><Relationship Id="rId7" Type="http://schemas.openxmlformats.org/officeDocument/2006/relationships/hyperlink" Target="http://new.eur-lex.europa.eu/legal-content/EN/AUTO/?uri=uriserv:OJ.L_.2013.347.01.0320.01.E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new.eur-lex.europa.eu/legal-content/EN/AUTO/?uri=uriserv:OJ.L_.2013.347.01.0303.01.ENG" TargetMode="External"/><Relationship Id="rId5" Type="http://schemas.openxmlformats.org/officeDocument/2006/relationships/hyperlink" Target="http://new.eur-lex.europa.eu/legal-content/EN/AUTO/?uri=uriserv:OJ.L_.2013.347.01.0289.01.ENG" TargetMode="External"/><Relationship Id="rId10" Type="http://schemas.openxmlformats.org/officeDocument/2006/relationships/theme" Target="theme/theme1.xml"/><Relationship Id="rId4" Type="http://schemas.openxmlformats.org/officeDocument/2006/relationships/hyperlink" Target="http://new.eur-lex.europa.eu/legal-content/EN/AUTO/?uri=uriserv:OJ.L_.2013.347.01.0281.01.ENG" TargetMode="Externa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959</Words>
  <Characters>5760</Characters>
  <Application>Microsoft Office Word</Application>
  <DocSecurity>0</DocSecurity>
  <Lines>48</Lines>
  <Paragraphs>13</Paragraphs>
  <ScaleCrop>false</ScaleCrop>
  <Company/>
  <LinksUpToDate>false</LinksUpToDate>
  <CharactersWithSpaces>6706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Władysław Szmyt</dc:creator>
  <cp:keywords/>
  <dc:description/>
  <cp:lastModifiedBy>Władysław Szmyt</cp:lastModifiedBy>
  <cp:revision>5</cp:revision>
  <dcterms:created xsi:type="dcterms:W3CDTF">2015-03-11T20:55:00Z</dcterms:created>
  <dcterms:modified xsi:type="dcterms:W3CDTF">2015-03-11T21:09:00Z</dcterms:modified>
</cp:coreProperties>
</file>