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CB414" w14:textId="77777777" w:rsidR="000D2215" w:rsidRPr="00B72EC8" w:rsidRDefault="000D2215" w:rsidP="000D2215">
      <w:pPr>
        <w:jc w:val="both"/>
        <w:rPr>
          <w:rFonts w:ascii="Times New Roman" w:hAnsi="Times New Roman"/>
          <w:sz w:val="24"/>
          <w:szCs w:val="24"/>
        </w:rPr>
      </w:pPr>
      <w:r w:rsidRPr="00B72EC8">
        <w:rPr>
          <w:rFonts w:ascii="Times New Roman" w:hAnsi="Times New Roman"/>
          <w:b/>
          <w:sz w:val="24"/>
          <w:szCs w:val="24"/>
        </w:rPr>
        <w:t>OPIS PRZEDMIOTU / MODUŁU KSZTAŁCENIA – SYLABUS</w:t>
      </w:r>
    </w:p>
    <w:tbl>
      <w:tblPr>
        <w:tblW w:w="92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283"/>
        <w:gridCol w:w="2752"/>
      </w:tblGrid>
      <w:tr w:rsidR="000D2215" w:rsidRPr="00B72EC8" w14:paraId="6ACA1C8E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52833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0A90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Nazwa przedmiotu/modułu w języku polskim:</w:t>
            </w:r>
          </w:p>
          <w:p w14:paraId="4EE60E94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Prawo rzymskie</w:t>
            </w:r>
          </w:p>
        </w:tc>
      </w:tr>
      <w:tr w:rsidR="000D2215" w:rsidRPr="00B72EC8" w14:paraId="4D541039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656CA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701A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Nazwa przedmiotu/modułu w języku angielskim:</w:t>
            </w:r>
          </w:p>
          <w:p w14:paraId="4FD584CA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Roman Law</w:t>
            </w:r>
          </w:p>
        </w:tc>
      </w:tr>
      <w:tr w:rsidR="000D2215" w:rsidRPr="00B72EC8" w14:paraId="68324879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F488E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2E00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Jednostka prowadząca przedmiot:</w:t>
            </w:r>
          </w:p>
          <w:p w14:paraId="07E49B9B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Instytut Historii Państwa i Prawa</w:t>
            </w:r>
          </w:p>
        </w:tc>
      </w:tr>
      <w:tr w:rsidR="000D2215" w:rsidRPr="00B72EC8" w14:paraId="4772EB3B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32884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32A2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Kod przedmiotu/modułu:</w:t>
            </w:r>
          </w:p>
          <w:p w14:paraId="26D1533C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23-PR-SM-S2-PRz</w:t>
            </w:r>
          </w:p>
        </w:tc>
      </w:tr>
      <w:tr w:rsidR="000D2215" w:rsidRPr="00B72EC8" w14:paraId="72CFE246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70662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CB02C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Rodzaj przedmiotu/modułu:</w:t>
            </w:r>
          </w:p>
          <w:p w14:paraId="407F6844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Obowiązkowy</w:t>
            </w:r>
          </w:p>
        </w:tc>
      </w:tr>
      <w:tr w:rsidR="000D2215" w:rsidRPr="00B72EC8" w14:paraId="0885CAAC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9503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580D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Kierunek studiów:</w:t>
            </w:r>
          </w:p>
          <w:p w14:paraId="31E3BAE6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Prawo</w:t>
            </w:r>
          </w:p>
        </w:tc>
      </w:tr>
      <w:tr w:rsidR="000D2215" w:rsidRPr="00B72EC8" w14:paraId="7FEAF762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CD60B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2841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Poziom studiów:</w:t>
            </w:r>
          </w:p>
          <w:p w14:paraId="025131AA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Magisterskie</w:t>
            </w:r>
          </w:p>
        </w:tc>
      </w:tr>
      <w:tr w:rsidR="000D2215" w:rsidRPr="00B72EC8" w14:paraId="50330BDB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16662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B137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Rok studiów:</w:t>
            </w:r>
          </w:p>
          <w:p w14:paraId="7ED86F4E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0D2215" w:rsidRPr="00B72EC8" w14:paraId="2CFCBABA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AA899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DFD5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Semestr:</w:t>
            </w:r>
          </w:p>
          <w:p w14:paraId="6F51B795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Letni</w:t>
            </w:r>
          </w:p>
        </w:tc>
      </w:tr>
      <w:tr w:rsidR="000D2215" w:rsidRPr="00B72EC8" w14:paraId="00832B5D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451D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57AE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Forma zajęć i liczba godzin:</w:t>
            </w:r>
          </w:p>
          <w:p w14:paraId="0D2C88A7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 xml:space="preserve">Ćwiczenia 30h </w:t>
            </w:r>
          </w:p>
        </w:tc>
      </w:tr>
      <w:tr w:rsidR="000D2215" w:rsidRPr="00B72EC8" w14:paraId="4E3F5881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34735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8D7A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Imię, nazwisko, tytuł/stopień naukowy osoby prowadzącej zajęcia</w:t>
            </w:r>
          </w:p>
          <w:p w14:paraId="419362BA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Dobromiła Nowicka, dr</w:t>
            </w:r>
          </w:p>
        </w:tc>
      </w:tr>
      <w:tr w:rsidR="000D2215" w:rsidRPr="00B72EC8" w14:paraId="38F2BB62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2C05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CAFE2" w14:textId="77777777" w:rsidR="000D2215" w:rsidRPr="00B72EC8" w:rsidRDefault="000D2215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Wymagania wstępne w zakresie wiedzy, umiejętności i kompetencji społecznych dla przedmiotu/modułu oraz zrealizowanych przedmiotów:</w:t>
            </w:r>
          </w:p>
          <w:p w14:paraId="62643283" w14:textId="77777777" w:rsidR="000D2215" w:rsidRPr="00B72EC8" w:rsidRDefault="000D2215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Brak</w:t>
            </w: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D2215" w:rsidRPr="00B72EC8" w14:paraId="491AE722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78BD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D834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Cele przedmiotu:</w:t>
            </w:r>
          </w:p>
          <w:p w14:paraId="4C2A3229" w14:textId="77777777" w:rsidR="000D2215" w:rsidRPr="00B72EC8" w:rsidRDefault="000D2215" w:rsidP="003B41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Celem przedmiotu jest zapoznanie studentów z dorobkiem rzymskiej nauki prawa i ukazanie im szczególnej roli prawa rzymskiego w kształtowaniu się europejskiej kultury prawnej.</w:t>
            </w:r>
          </w:p>
          <w:p w14:paraId="09D31EB2" w14:textId="77777777" w:rsidR="000D2215" w:rsidRPr="00B72EC8" w:rsidRDefault="000D2215" w:rsidP="003B41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Dodatkowym celem przedmiotu jest przygotowanie studentów do definiowania i porównywania instytucji prawnych przy użyciu właściwej terminologii oraz ich klasyfikowania, w tym wstępne przygotowanie studentów do dyskutowania i rozwiązywania krótkich kazusów.</w:t>
            </w:r>
          </w:p>
          <w:p w14:paraId="034D574D" w14:textId="77777777" w:rsidR="000D2215" w:rsidRPr="00B72EC8" w:rsidRDefault="000D2215" w:rsidP="003B41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Celem przedmiotu jest wyposażenie studentów w wiedzę z zakresu prawa rzymskiego, będącą podstawą do dalszych studiów, zwłaszcza w zakresie prawa porównawczego.</w:t>
            </w:r>
          </w:p>
        </w:tc>
      </w:tr>
      <w:tr w:rsidR="000D2215" w:rsidRPr="00B72EC8" w14:paraId="7DCB2A56" w14:textId="77777777" w:rsidTr="008101B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1EC1B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386B8FBE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2DE3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Zakładane efekty kształcenia:</w:t>
            </w:r>
          </w:p>
        </w:tc>
      </w:tr>
      <w:tr w:rsidR="000D2215" w:rsidRPr="00B72EC8" w14:paraId="1114ECFE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43361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001B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i/>
                <w:sz w:val="24"/>
                <w:szCs w:val="24"/>
              </w:rPr>
              <w:t>Wiedza</w:t>
            </w:r>
          </w:p>
        </w:tc>
      </w:tr>
      <w:tr w:rsidR="000D2215" w:rsidRPr="00B72EC8" w14:paraId="1C1EE755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4964D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6F37E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Student przedstawia podstawowe fakty dotyczące historii źródeł prawa rzymskiego. Identyfikuje poszczególne instytucje procesu rzymskiego, prawa osobowego, rodzinnego, rzeczowego, zobowiązań i spadkowego, wskazując ich charakterystyczne cechy.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1BCA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K_W03</w:t>
            </w:r>
          </w:p>
        </w:tc>
      </w:tr>
      <w:tr w:rsidR="000D2215" w:rsidRPr="00B72EC8" w14:paraId="6272980F" w14:textId="77777777" w:rsidTr="008101B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D5E46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69EAF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i/>
                <w:sz w:val="24"/>
                <w:szCs w:val="24"/>
              </w:rPr>
              <w:t>Umiejętności</w:t>
            </w:r>
          </w:p>
        </w:tc>
      </w:tr>
      <w:tr w:rsidR="000D2215" w:rsidRPr="00B72EC8" w14:paraId="77DB2A3A" w14:textId="77777777" w:rsidTr="008101B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05449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E5061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 xml:space="preserve">Student poprawnie używa terminologii charakterystycznej dla języka prawniczego, analizując i dyskutując zagadnienia związane z rzymskim prawem </w:t>
            </w:r>
            <w:r w:rsidRPr="00B72EC8">
              <w:rPr>
                <w:rFonts w:ascii="Times New Roman" w:hAnsi="Times New Roman"/>
                <w:sz w:val="24"/>
                <w:szCs w:val="24"/>
              </w:rPr>
              <w:lastRenderedPageBreak/>
              <w:t>prywatnym, stosując w tym zakresie elementy łacińskiej terminologii prawniczej.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8D9B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lastRenderedPageBreak/>
              <w:t>K_U01</w:t>
            </w:r>
          </w:p>
        </w:tc>
      </w:tr>
      <w:tr w:rsidR="000D2215" w:rsidRPr="00B72EC8" w14:paraId="43BC3DEE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FF8BF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67833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Student analizuje i rozwiązuje proste kazusy dotyczące rzymskiego prawa prywatnego. Student poprawnie rozpoznaje, porównuje i klasyfikuje odnoszące się do danego przypadku instytucje oraz wskazuje możliwe do zastosowania środki procesowe.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1AEF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 xml:space="preserve">K_U04 </w:t>
            </w:r>
          </w:p>
        </w:tc>
      </w:tr>
      <w:tr w:rsidR="000D2215" w:rsidRPr="00B72EC8" w14:paraId="7F56639C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760EB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195E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Podczas analizy kazusów z zakresu rzymskiego prawa prywatnego, student, opierając się na zdobytej wiedzy, proponuje i argumentuje najkorzystniejsze, według własnej oceny, rozwiązanie.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310C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K_U11</w:t>
            </w:r>
          </w:p>
        </w:tc>
      </w:tr>
      <w:tr w:rsidR="000D2215" w:rsidRPr="00B72EC8" w14:paraId="05EAE92B" w14:textId="77777777" w:rsidTr="008101B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8581A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9DCE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i/>
                <w:sz w:val="24"/>
                <w:szCs w:val="24"/>
              </w:rPr>
              <w:t>Kompetencje społeczne</w:t>
            </w:r>
          </w:p>
        </w:tc>
      </w:tr>
      <w:tr w:rsidR="000D2215" w:rsidRPr="00B72EC8" w14:paraId="58BD03CD" w14:textId="77777777" w:rsidTr="008101B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FB784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12D4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Poprzez samodzielną pracę w zakresie czytania literatury oraz źródeł student uzupełnia wiedzę zdobywaną na zajęciach, tak w zakresie wskazanych w sylabusie przedmiotu zagadnień, jak również w obrębie poszczególnych zagadnień wskazanych przez prowadzącego zajęcia.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1A9E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K_K04</w:t>
            </w:r>
          </w:p>
        </w:tc>
      </w:tr>
      <w:tr w:rsidR="000D2215" w:rsidRPr="00B72EC8" w14:paraId="3F99F387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7B898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1995A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Podczas dyskusji i pracy w zespole student precyzyjnie komunikuje się z innymi osobami, wyrażając własne opinie i odnosząc się do innych stanowisk prezentowanych w grupie.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EE62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K_K09</w:t>
            </w:r>
          </w:p>
        </w:tc>
      </w:tr>
      <w:tr w:rsidR="000D2215" w:rsidRPr="00B72EC8" w14:paraId="390208A3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EDE7F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71B9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Student samodzielnie analizuje wybrane problemy prawne, rekomendując przedsięwzięcie najkorzystniejszych, według własnej oceny, kroków prawnych w danym przypadku oraz uzasadniając proponowane rozwiązanie.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999E7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K_K12</w:t>
            </w:r>
          </w:p>
        </w:tc>
      </w:tr>
      <w:tr w:rsidR="000D2215" w:rsidRPr="00B72EC8" w14:paraId="3AD481C9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22744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90B35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Student uzasadnia potrzebę zachowania dziedzictwa prawnego w zakresie rzymskiego prawa prywatnego.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D03C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K_K15</w:t>
            </w:r>
          </w:p>
        </w:tc>
      </w:tr>
      <w:tr w:rsidR="000D2215" w:rsidRPr="00B72EC8" w14:paraId="074D136B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3DCC1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9EB2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Treści programowe:</w:t>
            </w:r>
          </w:p>
          <w:p w14:paraId="7BACF08C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MODUŁ 1 – PRAWO RZECZOWE</w:t>
            </w:r>
          </w:p>
          <w:p w14:paraId="34951B8D" w14:textId="77777777" w:rsidR="000D2215" w:rsidRPr="00B72EC8" w:rsidRDefault="000D2215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Wprowadzenie do prawa rzeczowego – pojęcie rzeczy, podziały, posiadanie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(zajęcia tradycyjne)</w:t>
            </w:r>
          </w:p>
          <w:p w14:paraId="574ED141" w14:textId="3C22FEA9" w:rsidR="000D2215" w:rsidRPr="00B72EC8" w:rsidRDefault="000D2215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 xml:space="preserve">Własność cz.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(zajęcia </w:t>
            </w:r>
            <w:r w:rsidR="00A92EC5">
              <w:rPr>
                <w:rFonts w:ascii="Times New Roman" w:hAnsi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5BE8D13" w14:textId="77777777" w:rsidR="000D2215" w:rsidRPr="00B72EC8" w:rsidRDefault="000D2215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Własność cz. II (pochodne sposoby przeniesienia własności, ochrona procesowa)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(zajęcia online)</w:t>
            </w:r>
          </w:p>
          <w:p w14:paraId="7A36B8F0" w14:textId="77777777" w:rsidR="000D2215" w:rsidRPr="00B72EC8" w:rsidRDefault="000D2215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Prawa na rzeczy cudzej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(zajęcia online)</w:t>
            </w:r>
          </w:p>
          <w:p w14:paraId="2061C161" w14:textId="574DAD8D" w:rsidR="000D2215" w:rsidRDefault="000D2215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Rozwi</w:t>
            </w:r>
            <w:r w:rsidR="00A92EC5">
              <w:rPr>
                <w:rFonts w:ascii="Times New Roman" w:hAnsi="Times New Roman"/>
                <w:sz w:val="24"/>
                <w:szCs w:val="24"/>
              </w:rPr>
              <w:t>ą</w:t>
            </w:r>
            <w:r w:rsidRPr="00B72EC8">
              <w:rPr>
                <w:rFonts w:ascii="Times New Roman" w:hAnsi="Times New Roman"/>
                <w:sz w:val="24"/>
                <w:szCs w:val="24"/>
              </w:rPr>
              <w:t>zywanie kazusów z zakresu prawa rzeczowego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(zajęcia tradycyjne)</w:t>
            </w:r>
          </w:p>
          <w:p w14:paraId="7BD1DF4A" w14:textId="77777777" w:rsidR="00A92EC5" w:rsidRDefault="00A92EC5" w:rsidP="00A92EC5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Rozwi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B72EC8">
              <w:rPr>
                <w:rFonts w:ascii="Times New Roman" w:hAnsi="Times New Roman"/>
                <w:sz w:val="24"/>
                <w:szCs w:val="24"/>
              </w:rPr>
              <w:t>zywanie kazusów z zakresu prawa rzeczowego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(zajęcia tradycyjne)</w:t>
            </w:r>
          </w:p>
          <w:p w14:paraId="76718CA5" w14:textId="77777777" w:rsidR="00A92EC5" w:rsidRPr="00A92EC5" w:rsidRDefault="00A92EC5" w:rsidP="00A92EC5">
            <w:pPr>
              <w:suppressAutoHyphens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44792F" w14:textId="77777777" w:rsidR="000D2215" w:rsidRPr="00B72EC8" w:rsidRDefault="000D2215" w:rsidP="003B416C">
            <w:p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MODUŁ 2 – PRAWO ZOBOWIĄZAŃ</w:t>
            </w:r>
          </w:p>
          <w:p w14:paraId="1AE9DCD7" w14:textId="76B948C6" w:rsidR="000D2215" w:rsidRDefault="000D2215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Ogólne cechy zobowiązań I (rodzaje zobowiązań, podmioty zobowiązań, zmiana podmiotów zobowiązania, przedmiot zobowiązania)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(zajęcia </w:t>
            </w:r>
            <w:r w:rsidR="00EF6892">
              <w:rPr>
                <w:rFonts w:ascii="Times New Roman" w:hAnsi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8C9D2A3" w14:textId="77777777" w:rsidR="000D2215" w:rsidRPr="00086086" w:rsidRDefault="000D2215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86">
              <w:rPr>
                <w:rFonts w:ascii="Times New Roman" w:hAnsi="Times New Roman"/>
                <w:sz w:val="24"/>
                <w:szCs w:val="24"/>
              </w:rPr>
              <w:t>Ogólne cechy zobowiązań II (modyfikacja świadczenia, odpowiedzialność za szkodę, pojęcie i skutki zwłoki, umocnienie zobowiązań, umorzenie zobowiązań) (zajęcia tradycyjne)</w:t>
            </w:r>
          </w:p>
          <w:p w14:paraId="11A28957" w14:textId="77777777" w:rsidR="000D2215" w:rsidRPr="00B72EC8" w:rsidRDefault="000D2215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lastRenderedPageBreak/>
              <w:t>Kontrakty – cz. I (ogólna charakterystyka zobowiązań kontraktowych; kontrakty realne, werbalne i literalne)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(zajęcia online)</w:t>
            </w:r>
          </w:p>
          <w:p w14:paraId="237B8515" w14:textId="77777777" w:rsidR="000D2215" w:rsidRPr="00B72EC8" w:rsidRDefault="000D2215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Kontrakty – cz. II (kontrakty konsensualne: kupno-sprzedaż, najem, spółka)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(zajęcia online)</w:t>
            </w:r>
          </w:p>
          <w:p w14:paraId="54AD2C20" w14:textId="77777777" w:rsidR="000D2215" w:rsidRPr="00B72EC8" w:rsidRDefault="000D2215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 xml:space="preserve">Kontrakty – cz. III (zlecenie, kontrakty nienazwane, </w:t>
            </w:r>
            <w:r w:rsidRPr="00B72EC8">
              <w:rPr>
                <w:rFonts w:ascii="Times New Roman" w:hAnsi="Times New Roman"/>
                <w:i/>
                <w:sz w:val="24"/>
                <w:szCs w:val="24"/>
              </w:rPr>
              <w:t>pacta</w:t>
            </w:r>
            <w:r w:rsidRPr="00B72EC8">
              <w:rPr>
                <w:rFonts w:ascii="Times New Roman" w:hAnsi="Times New Roman"/>
                <w:sz w:val="24"/>
                <w:szCs w:val="24"/>
              </w:rPr>
              <w:t xml:space="preserve">, darowizna, zobowiązania </w:t>
            </w:r>
            <w:r w:rsidRPr="00B72EC8">
              <w:rPr>
                <w:rFonts w:ascii="Times New Roman" w:hAnsi="Times New Roman"/>
                <w:i/>
                <w:sz w:val="24"/>
                <w:szCs w:val="24"/>
              </w:rPr>
              <w:t>quasi ex contractu</w:t>
            </w:r>
            <w:r w:rsidRPr="00B72EC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(zajęcia online)</w:t>
            </w:r>
          </w:p>
          <w:p w14:paraId="1282BBFE" w14:textId="77777777" w:rsidR="000D2215" w:rsidRPr="00B72EC8" w:rsidRDefault="000D2215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 xml:space="preserve">Zobowiązania </w:t>
            </w:r>
            <w:r w:rsidRPr="00B72EC8">
              <w:rPr>
                <w:rFonts w:ascii="Times New Roman" w:hAnsi="Times New Roman"/>
                <w:i/>
                <w:sz w:val="24"/>
                <w:szCs w:val="24"/>
              </w:rPr>
              <w:t xml:space="preserve">ex </w:t>
            </w:r>
            <w:proofErr w:type="spellStart"/>
            <w:r w:rsidRPr="00B72EC8">
              <w:rPr>
                <w:rFonts w:ascii="Times New Roman" w:hAnsi="Times New Roman"/>
                <w:i/>
                <w:sz w:val="24"/>
                <w:szCs w:val="24"/>
              </w:rPr>
              <w:t>delicto</w:t>
            </w:r>
            <w:proofErr w:type="spellEnd"/>
            <w:r w:rsidRPr="00B72EC8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B72EC8">
              <w:rPr>
                <w:rFonts w:ascii="Times New Roman" w:hAnsi="Times New Roman"/>
                <w:i/>
                <w:sz w:val="24"/>
                <w:szCs w:val="24"/>
              </w:rPr>
              <w:t xml:space="preserve">quasi ex </w:t>
            </w:r>
            <w:proofErr w:type="spellStart"/>
            <w:r w:rsidRPr="00B72EC8">
              <w:rPr>
                <w:rFonts w:ascii="Times New Roman" w:hAnsi="Times New Roman"/>
                <w:i/>
                <w:sz w:val="24"/>
                <w:szCs w:val="24"/>
              </w:rPr>
              <w:t>delicto</w:t>
            </w:r>
            <w:proofErr w:type="spellEnd"/>
            <w:r w:rsidRPr="00B72EC8">
              <w:rPr>
                <w:rFonts w:ascii="Times New Roman" w:hAnsi="Times New Roman"/>
                <w:sz w:val="24"/>
                <w:szCs w:val="24"/>
              </w:rPr>
              <w:t xml:space="preserve">; zobowiązania osób </w:t>
            </w:r>
            <w:proofErr w:type="spellStart"/>
            <w:r w:rsidRPr="00B72EC8">
              <w:rPr>
                <w:rFonts w:ascii="Times New Roman" w:hAnsi="Times New Roman"/>
                <w:i/>
                <w:sz w:val="24"/>
                <w:szCs w:val="24"/>
              </w:rPr>
              <w:t>alieni</w:t>
            </w:r>
            <w:proofErr w:type="spellEnd"/>
            <w:r w:rsidRPr="00B72EC8">
              <w:rPr>
                <w:rFonts w:ascii="Times New Roman" w:hAnsi="Times New Roman"/>
                <w:i/>
                <w:sz w:val="24"/>
                <w:szCs w:val="24"/>
              </w:rPr>
              <w:t xml:space="preserve"> iuris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(zajęcia online)</w:t>
            </w:r>
          </w:p>
          <w:p w14:paraId="3C72B61F" w14:textId="77777777" w:rsidR="000D2215" w:rsidRPr="00B72EC8" w:rsidRDefault="000D2215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Rozwiązywanie kazusów z zakresu prawa zobowiązań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(zajęcia tradycyjne)</w:t>
            </w:r>
          </w:p>
          <w:p w14:paraId="17C19B9B" w14:textId="77777777" w:rsidR="000D2215" w:rsidRPr="007E4649" w:rsidRDefault="000D2215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Rozwiązywanie kazusów z zakresu prawa zobowiązań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(zajęcia tradycyjne)</w:t>
            </w:r>
          </w:p>
          <w:p w14:paraId="02295922" w14:textId="7AEB298C" w:rsidR="000D2215" w:rsidRPr="007E4649" w:rsidRDefault="00EF6892" w:rsidP="003B416C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Rozwiązywanie kazusów z zakresu prawa zobowiązań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(zajęcia tradycyjne)</w:t>
            </w:r>
          </w:p>
        </w:tc>
      </w:tr>
      <w:tr w:rsidR="000D2215" w:rsidRPr="00B72EC8" w14:paraId="61AF84FE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EADD7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E3E5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 xml:space="preserve">Zalecana literatura </w:t>
            </w:r>
            <w:r w:rsidRPr="00B72EC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(podręczniki)</w:t>
            </w:r>
          </w:p>
          <w:p w14:paraId="702687C4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  <w:u w:val="single"/>
              </w:rPr>
              <w:t>Literatura podstawowa:</w:t>
            </w:r>
          </w:p>
          <w:p w14:paraId="11335BE9" w14:textId="77777777" w:rsidR="000D2215" w:rsidRPr="00B72EC8" w:rsidRDefault="000D2215" w:rsidP="003B416C">
            <w:pPr>
              <w:suppressAutoHyphens w:val="0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1. A. Dębiński, </w:t>
            </w:r>
            <w:r w:rsidRPr="00B72EC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 xml:space="preserve">Rzymskie prawo prywatne. </w:t>
            </w:r>
            <w:proofErr w:type="spellStart"/>
            <w:r w:rsidRPr="00B72EC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Kompendium</w:t>
            </w: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Warszawa</w:t>
            </w:r>
            <w:proofErr w:type="spellEnd"/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2011.</w:t>
            </w:r>
          </w:p>
          <w:p w14:paraId="7A59B283" w14:textId="77777777" w:rsidR="000D2215" w:rsidRPr="00B72EC8" w:rsidRDefault="000D2215" w:rsidP="003B416C">
            <w:pPr>
              <w:suppressAutoHyphens w:val="0"/>
              <w:spacing w:after="6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2. W. </w:t>
            </w:r>
            <w:proofErr w:type="spellStart"/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Dajczak</w:t>
            </w:r>
            <w:proofErr w:type="spellEnd"/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, T. </w:t>
            </w:r>
            <w:proofErr w:type="spellStart"/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Giaro</w:t>
            </w:r>
            <w:proofErr w:type="spellEnd"/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, F. </w:t>
            </w:r>
            <w:proofErr w:type="spellStart"/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Longchamps</w:t>
            </w:r>
            <w:proofErr w:type="spellEnd"/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Bérier</w:t>
            </w:r>
            <w:proofErr w:type="spellEnd"/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B72EC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 xml:space="preserve">Prawo rzymskie: u podstaw prawa </w:t>
            </w:r>
          </w:p>
          <w:p w14:paraId="5E22469F" w14:textId="77777777" w:rsidR="000D2215" w:rsidRPr="00B72EC8" w:rsidRDefault="000D2215" w:rsidP="003B416C">
            <w:pPr>
              <w:suppressAutoHyphens w:val="0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72EC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prywatnego</w:t>
            </w: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, Warszawa 2014. </w:t>
            </w:r>
          </w:p>
          <w:p w14:paraId="63FC257D" w14:textId="77777777" w:rsidR="000D2215" w:rsidRPr="00B72EC8" w:rsidRDefault="000D2215" w:rsidP="003B416C">
            <w:pPr>
              <w:suppressAutoHyphens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3. K. Kolańczyk, </w:t>
            </w:r>
            <w:r w:rsidRPr="00B72EC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Prawo rzymskie</w:t>
            </w: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Warszawa 2010.</w:t>
            </w:r>
          </w:p>
          <w:p w14:paraId="5B37238B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5B845A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72EC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Literatura uzupełniająca:</w:t>
            </w:r>
          </w:p>
          <w:p w14:paraId="6AF1705F" w14:textId="77777777" w:rsidR="000D2215" w:rsidRPr="00B72EC8" w:rsidRDefault="000D2215" w:rsidP="003B416C">
            <w:pPr>
              <w:pStyle w:val="Default"/>
              <w:numPr>
                <w:ilvl w:val="0"/>
                <w:numId w:val="2"/>
              </w:numPr>
              <w:jc w:val="both"/>
            </w:pPr>
            <w:r w:rsidRPr="00B72EC8">
              <w:t xml:space="preserve">W. </w:t>
            </w:r>
            <w:proofErr w:type="spellStart"/>
            <w:r w:rsidRPr="00B72EC8">
              <w:t>Dajczak</w:t>
            </w:r>
            <w:proofErr w:type="spellEnd"/>
            <w:r w:rsidRPr="00B72EC8">
              <w:t xml:space="preserve">, T. </w:t>
            </w:r>
            <w:proofErr w:type="spellStart"/>
            <w:r w:rsidRPr="00B72EC8">
              <w:t>Giaro</w:t>
            </w:r>
            <w:proofErr w:type="spellEnd"/>
            <w:r w:rsidRPr="00B72EC8">
              <w:t xml:space="preserve">, F. </w:t>
            </w:r>
            <w:proofErr w:type="spellStart"/>
            <w:r w:rsidRPr="00B72EC8">
              <w:t>Longchamps</w:t>
            </w:r>
            <w:proofErr w:type="spellEnd"/>
            <w:r w:rsidRPr="00B72EC8">
              <w:t xml:space="preserve"> de </w:t>
            </w:r>
            <w:proofErr w:type="spellStart"/>
            <w:r w:rsidRPr="00B72EC8">
              <w:t>Bérier</w:t>
            </w:r>
            <w:proofErr w:type="spellEnd"/>
            <w:r w:rsidRPr="00B72EC8">
              <w:t xml:space="preserve">, </w:t>
            </w:r>
            <w:r w:rsidRPr="00B72EC8">
              <w:rPr>
                <w:i/>
                <w:iCs/>
              </w:rPr>
              <w:t>Prawo rzymskie: [tablice chronologiczne, łacińskie maksymy prawnicze z komentarzem, dzieje prawa rzymskiego w powiązaniu z rozwojem europejskiego prawa prywatnego]</w:t>
            </w:r>
            <w:r w:rsidRPr="00B72EC8">
              <w:t>, Kraków 2012.</w:t>
            </w:r>
          </w:p>
          <w:p w14:paraId="4B70DA22" w14:textId="77777777" w:rsidR="000D2215" w:rsidRPr="00B72EC8" w:rsidRDefault="000D2215" w:rsidP="003B416C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W. Litewski, </w:t>
            </w:r>
            <w:r w:rsidRPr="00B72EC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Słownik encyklopedyczny prawa rzymskiego</w:t>
            </w: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Kraków 1998.</w:t>
            </w:r>
          </w:p>
          <w:p w14:paraId="436D1A4D" w14:textId="77777777" w:rsidR="000D2215" w:rsidRPr="00B72EC8" w:rsidRDefault="000D2215" w:rsidP="003B416C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W. Rozwadowski, </w:t>
            </w:r>
            <w:r w:rsidRPr="00B72EC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Prawo rzymskie. Zarys wykładu wraz z wyborem źródeł</w:t>
            </w: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Poznań ca 2001.</w:t>
            </w:r>
          </w:p>
          <w:p w14:paraId="4B96CE8B" w14:textId="77777777" w:rsidR="000D2215" w:rsidRPr="00B72EC8" w:rsidRDefault="000D2215" w:rsidP="003B416C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W. Wołodkiewicz, M. Zabłocka, </w:t>
            </w:r>
            <w:r w:rsidRPr="00B72EC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Prawo rzymskie. Instytucje</w:t>
            </w: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wyd.5, Warszawa 2014.</w:t>
            </w:r>
          </w:p>
          <w:p w14:paraId="737E8AC7" w14:textId="77777777" w:rsidR="000D2215" w:rsidRPr="00B72EC8" w:rsidRDefault="000D2215" w:rsidP="003B416C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J. Rominkiewicz, E. </w:t>
            </w:r>
            <w:proofErr w:type="spellStart"/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Szymoszek</w:t>
            </w:r>
            <w:proofErr w:type="spellEnd"/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, I. Żeber, </w:t>
            </w:r>
            <w:r w:rsidRPr="00B72EC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Prawo rzymskie. Teksty źródłowe do ćwiczeń</w:t>
            </w:r>
            <w:r w:rsidRPr="00B72E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Wrocław 1998.</w:t>
            </w:r>
          </w:p>
          <w:p w14:paraId="589EDDCA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215" w:rsidRPr="00B72EC8" w14:paraId="1930A7C0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F2B8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4CA4" w14:textId="77777777" w:rsidR="000D2215" w:rsidRPr="00B72EC8" w:rsidRDefault="000D2215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Forma zaliczenia poszczególnych komponentów przedmiotu/modułu, sposób sprawdzenia osiągnięcia zamierzonych efektów kształcenia:</w:t>
            </w:r>
          </w:p>
          <w:tbl>
            <w:tblPr>
              <w:tblW w:w="84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93"/>
            </w:tblGrid>
            <w:tr w:rsidR="000D2215" w:rsidRPr="00B72EC8" w14:paraId="74E6028D" w14:textId="77777777" w:rsidTr="003B416C">
              <w:trPr>
                <w:trHeight w:val="1489"/>
              </w:trPr>
              <w:tc>
                <w:tcPr>
                  <w:tcW w:w="8493" w:type="dxa"/>
                </w:tcPr>
                <w:p w14:paraId="4D7A1A93" w14:textId="73249C5F" w:rsidR="000D2215" w:rsidRPr="00B72EC8" w:rsidRDefault="000D2215" w:rsidP="003B41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EC8">
                    <w:rPr>
                      <w:rFonts w:ascii="Times New Roman" w:hAnsi="Times New Roman"/>
                      <w:sz w:val="24"/>
                      <w:szCs w:val="24"/>
                    </w:rPr>
                    <w:t xml:space="preserve">Punktem wyjścia dla określenia oceny z zaliczenia przedmiotu stanowi suma punktów uzyskanych z testów cząstkowych – </w:t>
                  </w:r>
                  <w:r w:rsidR="00A63528">
                    <w:rPr>
                      <w:rFonts w:ascii="Times New Roman" w:hAnsi="Times New Roman"/>
                      <w:sz w:val="24"/>
                      <w:szCs w:val="24"/>
                    </w:rPr>
                    <w:t xml:space="preserve">z </w:t>
                  </w:r>
                  <w:r w:rsidRPr="00B72EC8">
                    <w:rPr>
                      <w:rFonts w:ascii="Times New Roman" w:hAnsi="Times New Roman"/>
                      <w:sz w:val="24"/>
                      <w:szCs w:val="24"/>
                    </w:rPr>
                    <w:t>prawa rzeczowego (15 pkt)</w:t>
                  </w:r>
                  <w:r w:rsidR="00A63528">
                    <w:rPr>
                      <w:rFonts w:ascii="Times New Roman" w:hAnsi="Times New Roman"/>
                      <w:sz w:val="24"/>
                      <w:szCs w:val="24"/>
                    </w:rPr>
                    <w:t xml:space="preserve"> oraz z </w:t>
                  </w:r>
                  <w:r w:rsidRPr="00B72EC8">
                    <w:rPr>
                      <w:rFonts w:ascii="Times New Roman" w:hAnsi="Times New Roman"/>
                      <w:sz w:val="24"/>
                      <w:szCs w:val="24"/>
                    </w:rPr>
                    <w:t>prawa zobowiązań (20 pkt). W tej formie sprawdzeniu podlegać będzie osiągnięcie efektu K_W03.</w:t>
                  </w:r>
                </w:p>
                <w:p w14:paraId="605A61ED" w14:textId="33455725" w:rsidR="000D2215" w:rsidRPr="00B72EC8" w:rsidRDefault="00A63528" w:rsidP="003B41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Oba</w:t>
                  </w:r>
                  <w:r w:rsidR="000D2215" w:rsidRPr="00B72EC8">
                    <w:rPr>
                      <w:rFonts w:ascii="Times New Roman" w:hAnsi="Times New Roman"/>
                      <w:sz w:val="24"/>
                      <w:szCs w:val="24"/>
                    </w:rPr>
                    <w:t xml:space="preserve"> kolokwia (w formie testów jednokrotnego wyboru) przeprowadzone zostaną przy wykorzystaniu platformy e-learningowej i </w:t>
                  </w:r>
                  <w:r w:rsidR="00921299">
                    <w:rPr>
                      <w:rFonts w:ascii="Times New Roman" w:hAnsi="Times New Roman"/>
                      <w:sz w:val="24"/>
                      <w:szCs w:val="24"/>
                    </w:rPr>
                    <w:t>będą otwarte</w:t>
                  </w:r>
                  <w:r w:rsidR="000D2215" w:rsidRPr="00B72EC8">
                    <w:rPr>
                      <w:rFonts w:ascii="Times New Roman" w:hAnsi="Times New Roman"/>
                      <w:sz w:val="24"/>
                      <w:szCs w:val="24"/>
                    </w:rPr>
                    <w:t xml:space="preserve"> odpowiednio – </w:t>
                  </w:r>
                  <w:r w:rsidR="00921299">
                    <w:rPr>
                      <w:rFonts w:ascii="Times New Roman" w:hAnsi="Times New Roman"/>
                      <w:sz w:val="24"/>
                      <w:szCs w:val="24"/>
                    </w:rPr>
                    <w:t xml:space="preserve">do </w:t>
                  </w:r>
                  <w:r w:rsidR="00F83452">
                    <w:rPr>
                      <w:rFonts w:ascii="Times New Roman" w:hAnsi="Times New Roman"/>
                      <w:sz w:val="24"/>
                      <w:szCs w:val="24"/>
                    </w:rPr>
                    <w:t xml:space="preserve">północy dnia poprzedzającego dzień </w:t>
                  </w:r>
                  <w:r w:rsidR="00921299">
                    <w:rPr>
                      <w:rFonts w:ascii="Times New Roman" w:hAnsi="Times New Roman"/>
                      <w:sz w:val="24"/>
                      <w:szCs w:val="24"/>
                    </w:rPr>
                    <w:t>rozpoczęcia zajęć nr</w:t>
                  </w:r>
                  <w:r w:rsidR="00537E1C">
                    <w:rPr>
                      <w:rFonts w:ascii="Times New Roman" w:hAnsi="Times New Roman"/>
                      <w:sz w:val="24"/>
                      <w:szCs w:val="24"/>
                    </w:rPr>
                    <w:t xml:space="preserve"> 5</w:t>
                  </w:r>
                  <w:r w:rsidR="000D2215" w:rsidRPr="00B72EC8">
                    <w:rPr>
                      <w:rFonts w:ascii="Times New Roman" w:hAnsi="Times New Roman"/>
                      <w:sz w:val="24"/>
                      <w:szCs w:val="24"/>
                    </w:rPr>
                    <w:t xml:space="preserve"> (z prawa rzeczowego), </w:t>
                  </w:r>
                  <w:r w:rsidR="00537E1C">
                    <w:rPr>
                      <w:rFonts w:ascii="Times New Roman" w:hAnsi="Times New Roman"/>
                      <w:sz w:val="24"/>
                      <w:szCs w:val="24"/>
                    </w:rPr>
                    <w:t>oraz do</w:t>
                  </w:r>
                  <w:r w:rsidR="00F8345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83452">
                    <w:rPr>
                      <w:rFonts w:ascii="Times New Roman" w:hAnsi="Times New Roman"/>
                      <w:sz w:val="24"/>
                      <w:szCs w:val="24"/>
                    </w:rPr>
                    <w:t>północy dnia poprzedzającego dzień</w:t>
                  </w:r>
                  <w:r w:rsidR="00537E1C">
                    <w:rPr>
                      <w:rFonts w:ascii="Times New Roman" w:hAnsi="Times New Roman"/>
                      <w:sz w:val="24"/>
                      <w:szCs w:val="24"/>
                    </w:rPr>
                    <w:t xml:space="preserve"> rozpoczęcia zajęć nr 13</w:t>
                  </w:r>
                  <w:r w:rsidR="000D2215" w:rsidRPr="00B72EC8">
                    <w:rPr>
                      <w:rFonts w:ascii="Times New Roman" w:hAnsi="Times New Roman"/>
                      <w:sz w:val="24"/>
                      <w:szCs w:val="24"/>
                    </w:rPr>
                    <w:t xml:space="preserve"> (z prawa zobowiązań). Istnieje możliwość dwukrotnego podejścia do każdego testu, przy czym sumą punktów mającą wpływ na ocenę jest najlepszy wynik z tych dwóch prób. </w:t>
                  </w:r>
                </w:p>
                <w:p w14:paraId="3422FF2B" w14:textId="693CF1D0" w:rsidR="006E79F3" w:rsidRDefault="000D2215" w:rsidP="00F83452">
                  <w:pPr>
                    <w:pStyle w:val="Default"/>
                    <w:ind w:firstLine="709"/>
                    <w:jc w:val="both"/>
                    <w:rPr>
                      <w:color w:val="auto"/>
                    </w:rPr>
                  </w:pPr>
                  <w:r w:rsidRPr="00B72EC8">
                    <w:t xml:space="preserve">Ponadto studenci są zobowiązani do </w:t>
                  </w:r>
                  <w:r w:rsidR="004F267A">
                    <w:t>zapoznania się z wszystkimi prezentacjami dotyczącymi mate</w:t>
                  </w:r>
                  <w:r w:rsidR="00D96648">
                    <w:t>r</w:t>
                  </w:r>
                  <w:r w:rsidR="004F267A">
                    <w:t xml:space="preserve">iału </w:t>
                  </w:r>
                  <w:r w:rsidR="00D96648">
                    <w:t xml:space="preserve">przypadającego na poszczególne zajęcia oraz </w:t>
                  </w:r>
                  <w:r w:rsidRPr="00B72EC8">
                    <w:t xml:space="preserve">zaliczenia wszystkich quizów (uzyskanie co najmniej </w:t>
                  </w:r>
                  <w:r w:rsidRPr="00B72EC8">
                    <w:rPr>
                      <w:color w:val="auto"/>
                    </w:rPr>
                    <w:t xml:space="preserve">80% maksymalnej liczby punktów z poszczególnych quizów), sprawdzających opanowanie materiału z poszczególnych </w:t>
                  </w:r>
                  <w:r w:rsidRPr="00B72EC8">
                    <w:rPr>
                      <w:color w:val="auto"/>
                    </w:rPr>
                    <w:lastRenderedPageBreak/>
                    <w:t>zajęć</w:t>
                  </w:r>
                  <w:r w:rsidR="00D96648">
                    <w:rPr>
                      <w:color w:val="auto"/>
                    </w:rPr>
                    <w:t xml:space="preserve"> – w tygodniu</w:t>
                  </w:r>
                  <w:r w:rsidR="006971CC">
                    <w:rPr>
                      <w:color w:val="auto"/>
                    </w:rPr>
                    <w:t>, w którym przypadają dane zajęcia.</w:t>
                  </w:r>
                  <w:r w:rsidRPr="00B72EC8">
                    <w:rPr>
                      <w:color w:val="auto"/>
                    </w:rPr>
                    <w:t xml:space="preserve"> Dostęp do </w:t>
                  </w:r>
                  <w:r w:rsidR="00300A5C">
                    <w:rPr>
                      <w:color w:val="auto"/>
                    </w:rPr>
                    <w:t>w/w quizów</w:t>
                  </w:r>
                  <w:r w:rsidRPr="00B72EC8">
                    <w:rPr>
                      <w:color w:val="auto"/>
                    </w:rPr>
                    <w:t>, w drodze e-learningu, będzie ograniczony czasowo</w:t>
                  </w:r>
                  <w:r w:rsidR="001C7414">
                    <w:rPr>
                      <w:color w:val="auto"/>
                    </w:rPr>
                    <w:t xml:space="preserve"> </w:t>
                  </w:r>
                  <w:r w:rsidR="001C7414">
                    <w:rPr>
                      <w:color w:val="auto"/>
                    </w:rPr>
                    <w:t xml:space="preserve">(od poniedziałku </w:t>
                  </w:r>
                  <w:r w:rsidR="00281D9B">
                    <w:rPr>
                      <w:color w:val="auto"/>
                    </w:rPr>
                    <w:t xml:space="preserve">od godz. 6.00 </w:t>
                  </w:r>
                  <w:r w:rsidR="001C7414">
                    <w:rPr>
                      <w:color w:val="auto"/>
                    </w:rPr>
                    <w:t>do piątku</w:t>
                  </w:r>
                  <w:r w:rsidR="001C7414">
                    <w:rPr>
                      <w:color w:val="auto"/>
                    </w:rPr>
                    <w:t xml:space="preserve"> </w:t>
                  </w:r>
                  <w:r w:rsidR="00281D9B">
                    <w:rPr>
                      <w:color w:val="auto"/>
                    </w:rPr>
                    <w:t xml:space="preserve">do godz. </w:t>
                  </w:r>
                  <w:r w:rsidR="00931B9A">
                    <w:rPr>
                      <w:color w:val="auto"/>
                    </w:rPr>
                    <w:t xml:space="preserve">20.00 </w:t>
                  </w:r>
                  <w:r w:rsidR="001C7414">
                    <w:rPr>
                      <w:color w:val="auto"/>
                    </w:rPr>
                    <w:t>tygodnia, w którym odbywają się zajęcia</w:t>
                  </w:r>
                  <w:r w:rsidR="001C7414">
                    <w:rPr>
                      <w:color w:val="auto"/>
                    </w:rPr>
                    <w:t>)</w:t>
                  </w:r>
                  <w:r w:rsidRPr="00B72EC8">
                    <w:rPr>
                      <w:color w:val="auto"/>
                    </w:rPr>
                    <w:t>, z dowolną liczbą podejść</w:t>
                  </w:r>
                  <w:r w:rsidR="00F14660">
                    <w:rPr>
                      <w:color w:val="auto"/>
                    </w:rPr>
                    <w:t xml:space="preserve">. </w:t>
                  </w:r>
                  <w:r>
                    <w:rPr>
                      <w:color w:val="auto"/>
                    </w:rPr>
                    <w:t>Podczas tej aktywności weryfikowany jest efekt K_W03.</w:t>
                  </w:r>
                  <w:r w:rsidR="00F14660">
                    <w:rPr>
                      <w:color w:val="auto"/>
                    </w:rPr>
                    <w:t xml:space="preserve"> </w:t>
                  </w:r>
                </w:p>
                <w:p w14:paraId="1C83C4CF" w14:textId="07EAEB37" w:rsidR="00F14660" w:rsidRPr="00B72EC8" w:rsidRDefault="00F14660" w:rsidP="003B416C">
                  <w:pPr>
                    <w:pStyle w:val="Default"/>
                    <w:ind w:firstLine="709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Dodatkowo </w:t>
                  </w:r>
                  <w:r w:rsidR="00CA299A">
                    <w:rPr>
                      <w:color w:val="auto"/>
                    </w:rPr>
                    <w:t>do każdych zaj</w:t>
                  </w:r>
                  <w:r w:rsidR="00195333">
                    <w:rPr>
                      <w:color w:val="auto"/>
                    </w:rPr>
                    <w:t>ę</w:t>
                  </w:r>
                  <w:r w:rsidR="00CA299A">
                    <w:rPr>
                      <w:color w:val="auto"/>
                    </w:rPr>
                    <w:t>ć online przypisane będzie jedno forum, na którym studenci mogą dyskutować kwestie związane z zakresem materiału przypisanym do tychże zajęć. Z aktywności tej studenci mogą uzyskać maksymalnie 3 punkty za jedno forum</w:t>
                  </w:r>
                  <w:r w:rsidR="006F3A5B">
                    <w:rPr>
                      <w:color w:val="auto"/>
                    </w:rPr>
                    <w:t xml:space="preserve"> </w:t>
                  </w:r>
                  <w:r w:rsidR="00CA299A">
                    <w:rPr>
                      <w:color w:val="auto"/>
                    </w:rPr>
                    <w:t xml:space="preserve">(=jedne zajęcia online). Podczas tej aktywności </w:t>
                  </w:r>
                  <w:r w:rsidR="004325F5">
                    <w:rPr>
                      <w:color w:val="auto"/>
                    </w:rPr>
                    <w:t xml:space="preserve">weryfikacji podlegać będą efekty </w:t>
                  </w:r>
                  <w:r w:rsidR="004325F5">
                    <w:rPr>
                      <w:color w:val="auto"/>
                    </w:rPr>
                    <w:t>K_U01; K_K04; K_K09</w:t>
                  </w:r>
                  <w:r w:rsidR="004325F5">
                    <w:rPr>
                      <w:color w:val="auto"/>
                    </w:rPr>
                    <w:t xml:space="preserve">. </w:t>
                  </w:r>
                </w:p>
                <w:p w14:paraId="20185722" w14:textId="05247DFF" w:rsidR="000D2215" w:rsidRPr="00B72EC8" w:rsidRDefault="000D2215" w:rsidP="003B416C">
                  <w:pPr>
                    <w:pStyle w:val="Default"/>
                    <w:ind w:firstLine="709"/>
                    <w:jc w:val="both"/>
                    <w:rPr>
                      <w:color w:val="auto"/>
                    </w:rPr>
                  </w:pPr>
                  <w:r w:rsidRPr="00B72EC8">
                    <w:rPr>
                      <w:color w:val="auto"/>
                    </w:rPr>
                    <w:t xml:space="preserve">W celu zaliczenia efektu K_K15, student jest zobowiązany do zamieszczenia co najmniej jednego wpisu oraz </w:t>
                  </w:r>
                  <w:r>
                    <w:rPr>
                      <w:color w:val="auto"/>
                    </w:rPr>
                    <w:t>dwóch</w:t>
                  </w:r>
                  <w:r w:rsidRPr="00B72EC8">
                    <w:rPr>
                      <w:color w:val="auto"/>
                    </w:rPr>
                    <w:t xml:space="preserve"> odpowiedzi na wpis na forum dla każdego z </w:t>
                  </w:r>
                  <w:r w:rsidR="00375781">
                    <w:rPr>
                      <w:color w:val="auto"/>
                    </w:rPr>
                    <w:t>dwóch</w:t>
                  </w:r>
                  <w:r w:rsidRPr="00B72EC8">
                    <w:rPr>
                      <w:color w:val="auto"/>
                    </w:rPr>
                    <w:t>, wymienionych wyżej, bloków zagadnień.</w:t>
                  </w:r>
                  <w:r>
                    <w:rPr>
                      <w:color w:val="auto"/>
                    </w:rPr>
                    <w:t xml:space="preserve"> Wpisy na forum będą </w:t>
                  </w:r>
                  <w:r w:rsidR="00CA170A">
                    <w:rPr>
                      <w:color w:val="auto"/>
                    </w:rPr>
                    <w:t xml:space="preserve">przez tydzień </w:t>
                  </w:r>
                  <w:r>
                    <w:rPr>
                      <w:color w:val="auto"/>
                    </w:rPr>
                    <w:t>otwarte do komentowania przez innych członków grupy</w:t>
                  </w:r>
                  <w:r w:rsidR="00CA170A">
                    <w:rPr>
                      <w:color w:val="auto"/>
                    </w:rPr>
                    <w:t xml:space="preserve">. </w:t>
                  </w:r>
                  <w:r>
                    <w:rPr>
                      <w:color w:val="auto"/>
                    </w:rPr>
                    <w:t xml:space="preserve">Pod wpływem komentarzy studenci mogą – do momentu </w:t>
                  </w:r>
                  <w:r w:rsidR="00CA170A">
                    <w:rPr>
                      <w:color w:val="auto"/>
                    </w:rPr>
                    <w:t xml:space="preserve">zamknięcia aktywności </w:t>
                  </w:r>
                  <w:r>
                    <w:rPr>
                      <w:color w:val="auto"/>
                    </w:rPr>
                    <w:t>– modyfikować swoje wpisy.</w:t>
                  </w:r>
                  <w:r w:rsidR="0071072A">
                    <w:rPr>
                      <w:color w:val="auto"/>
                    </w:rPr>
                    <w:t xml:space="preserve"> Terminy </w:t>
                  </w:r>
                  <w:r w:rsidR="00DC7C0A">
                    <w:rPr>
                      <w:color w:val="auto"/>
                    </w:rPr>
                    <w:t xml:space="preserve">poszczególnych aktywności </w:t>
                  </w:r>
                  <w:r w:rsidR="0055256D">
                    <w:rPr>
                      <w:color w:val="auto"/>
                    </w:rPr>
                    <w:t>(wybór i rezerwacja tematu, opracowane postu, komentowanie, korygowanie postu)</w:t>
                  </w:r>
                  <w:r w:rsidR="00DA7CDE">
                    <w:rPr>
                      <w:color w:val="auto"/>
                    </w:rPr>
                    <w:t xml:space="preserve"> zostaną podane w opisie forum.</w:t>
                  </w:r>
                  <w:r>
                    <w:rPr>
                      <w:color w:val="auto"/>
                    </w:rPr>
                    <w:t xml:space="preserve"> Podczas tej aktywności weryfikowane jest także osiągnięcie efektów K_U01; K_K04; K_K09.</w:t>
                  </w:r>
                  <w:r w:rsidR="00755EFB">
                    <w:rPr>
                      <w:color w:val="auto"/>
                    </w:rPr>
                    <w:t xml:space="preserve"> </w:t>
                  </w:r>
                  <w:r w:rsidR="00151DA2">
                    <w:rPr>
                      <w:color w:val="auto"/>
                    </w:rPr>
                    <w:t>Za</w:t>
                  </w:r>
                  <w:r w:rsidRPr="00B72EC8">
                    <w:rPr>
                      <w:color w:val="auto"/>
                    </w:rPr>
                    <w:t xml:space="preserve">mieszczenie merytorycznego postu </w:t>
                  </w:r>
                  <w:r w:rsidR="00151DA2">
                    <w:rPr>
                      <w:color w:val="auto"/>
                    </w:rPr>
                    <w:t xml:space="preserve">na forum </w:t>
                  </w:r>
                  <w:r w:rsidR="00E55641">
                    <w:rPr>
                      <w:color w:val="auto"/>
                    </w:rPr>
                    <w:t xml:space="preserve">może być ocenione na maksymalnie </w:t>
                  </w:r>
                  <w:r w:rsidR="00B42FCF">
                    <w:rPr>
                      <w:color w:val="auto"/>
                    </w:rPr>
                    <w:t>5</w:t>
                  </w:r>
                  <w:r w:rsidRPr="00B72EC8">
                    <w:rPr>
                      <w:color w:val="auto"/>
                    </w:rPr>
                    <w:t xml:space="preserve"> pkt</w:t>
                  </w:r>
                  <w:r w:rsidR="00E55641">
                    <w:rPr>
                      <w:color w:val="auto"/>
                    </w:rPr>
                    <w:t xml:space="preserve">, </w:t>
                  </w:r>
                  <w:r w:rsidR="00766A90">
                    <w:rPr>
                      <w:color w:val="auto"/>
                    </w:rPr>
                    <w:t>merytoryczn</w:t>
                  </w:r>
                  <w:r w:rsidR="009C6812">
                    <w:rPr>
                      <w:color w:val="auto"/>
                    </w:rPr>
                    <w:t>ej</w:t>
                  </w:r>
                  <w:r w:rsidR="00766A90">
                    <w:rPr>
                      <w:color w:val="auto"/>
                    </w:rPr>
                    <w:t xml:space="preserve"> </w:t>
                  </w:r>
                  <w:r w:rsidR="00E55641">
                    <w:rPr>
                      <w:color w:val="auto"/>
                    </w:rPr>
                    <w:t>odpowied</w:t>
                  </w:r>
                  <w:r w:rsidR="009C6812">
                    <w:rPr>
                      <w:color w:val="auto"/>
                    </w:rPr>
                    <w:t>zi</w:t>
                  </w:r>
                  <w:r w:rsidR="00E55641">
                    <w:rPr>
                      <w:color w:val="auto"/>
                    </w:rPr>
                    <w:t xml:space="preserve"> natomiast – maksymalnie na 2. </w:t>
                  </w:r>
                </w:p>
                <w:p w14:paraId="2A41D77F" w14:textId="07DA6CC4" w:rsidR="000D2215" w:rsidRPr="00B72EC8" w:rsidRDefault="000D2215" w:rsidP="003B416C">
                  <w:pPr>
                    <w:pStyle w:val="Default"/>
                    <w:ind w:firstLine="709"/>
                    <w:jc w:val="both"/>
                  </w:pPr>
                  <w:r w:rsidRPr="00B72EC8">
                    <w:t>Osiągnięcie pozostałych efektów kształcenia</w:t>
                  </w:r>
                  <w:r>
                    <w:t>,</w:t>
                  </w:r>
                  <w:r w:rsidRPr="00B72EC8">
                    <w:t xml:space="preserve"> </w:t>
                  </w:r>
                  <w:r>
                    <w:t xml:space="preserve">związanych bezpośrednio z rozwiązywaniem kazusów (K_U04; K_U11; K_K12), </w:t>
                  </w:r>
                  <w:r w:rsidRPr="00B72EC8">
                    <w:t>weryfikowane będzie podczas</w:t>
                  </w:r>
                  <w:r>
                    <w:t xml:space="preserve"> rozwiązywania kazusów na zajęciach tradycyjnych. </w:t>
                  </w:r>
                  <w:r w:rsidRPr="00B72EC8">
                    <w:t xml:space="preserve">Z tego względu wymagana jest regularna i punktualna obecność na zajęciach, jak również aktywny w nich udział. </w:t>
                  </w:r>
                </w:p>
                <w:p w14:paraId="3C22D2DF" w14:textId="6B684EED" w:rsidR="000D1516" w:rsidRPr="00B72EC8" w:rsidRDefault="000D2215" w:rsidP="000D1516">
                  <w:pPr>
                    <w:pStyle w:val="Default"/>
                    <w:ind w:firstLine="709"/>
                    <w:jc w:val="both"/>
                  </w:pPr>
                  <w:r w:rsidRPr="00B72EC8">
                    <w:t xml:space="preserve">Z tytułu aktywności na zajęciach </w:t>
                  </w:r>
                  <w:r>
                    <w:t xml:space="preserve">tradycyjnych </w:t>
                  </w:r>
                  <w:r w:rsidRPr="00B72EC8">
                    <w:t>student może uzyskać 3 punkty za każde zajęcia</w:t>
                  </w:r>
                  <w:r>
                    <w:t xml:space="preserve"> przeprowadzone w formie tradycyjnej (w tym </w:t>
                  </w:r>
                  <w:proofErr w:type="spellStart"/>
                  <w:r>
                    <w:t>kazusowe</w:t>
                  </w:r>
                  <w:proofErr w:type="spellEnd"/>
                  <w:r>
                    <w:t>)</w:t>
                  </w:r>
                  <w:r w:rsidRPr="00B72EC8">
                    <w:t>.</w:t>
                  </w:r>
                  <w:r w:rsidR="00E20867">
                    <w:t xml:space="preserve"> </w:t>
                  </w:r>
                  <w:r w:rsidR="000D1516">
                    <w:t xml:space="preserve">W przypadku nieuzyskania punktów mimo obecności na zajęciach lub uzyskania ich mniejszej liczby niż maksymalna, studenci </w:t>
                  </w:r>
                  <w:r w:rsidR="00424C67">
                    <w:t xml:space="preserve">mogą uzyskać brakujące punkty z tych zajęć, biorąc udział w dyskusji na forum </w:t>
                  </w:r>
                  <w:r w:rsidR="00144A56">
                    <w:t xml:space="preserve">odnoszącym się do tych zajęć. </w:t>
                  </w:r>
                  <w:r w:rsidR="00C7580D">
                    <w:t>Nie dotyczy to jednak zajęć kazusowych.</w:t>
                  </w:r>
                  <w:bookmarkStart w:id="0" w:name="_GoBack"/>
                  <w:bookmarkEnd w:id="0"/>
                </w:p>
                <w:p w14:paraId="63C7D26C" w14:textId="62E1189A" w:rsidR="000D2215" w:rsidRDefault="000D2215" w:rsidP="003B416C">
                  <w:pPr>
                    <w:pStyle w:val="Default"/>
                    <w:ind w:firstLine="709"/>
                    <w:jc w:val="both"/>
                  </w:pPr>
                  <w:r w:rsidRPr="00B72EC8">
                    <w:t xml:space="preserve">Wszystkie punkty zdobyte przez studenta w semestrze podlegają zsumowaniu i odpowiadają następującym ocenom: </w:t>
                  </w:r>
                </w:p>
                <w:p w14:paraId="03E84F97" w14:textId="77777777" w:rsidR="000D2CD3" w:rsidRDefault="000D2CD3" w:rsidP="000D2CD3">
                  <w:pPr>
                    <w:pStyle w:val="Default"/>
                    <w:ind w:firstLine="709"/>
                    <w:jc w:val="both"/>
                  </w:pPr>
                  <w:r>
                    <w:t>88-98:bdb</w:t>
                  </w:r>
                </w:p>
                <w:p w14:paraId="024218B8" w14:textId="77777777" w:rsidR="000D2CD3" w:rsidRPr="00766A90" w:rsidRDefault="000D2CD3" w:rsidP="000D2CD3">
                  <w:pPr>
                    <w:pStyle w:val="Default"/>
                    <w:ind w:firstLine="709"/>
                    <w:jc w:val="both"/>
                  </w:pPr>
                  <w:r>
                    <w:t>78-87</w:t>
                  </w:r>
                  <w:r w:rsidRPr="00766A90">
                    <w:t>:+</w:t>
                  </w:r>
                  <w:proofErr w:type="spellStart"/>
                  <w:r w:rsidRPr="00766A90">
                    <w:t>db</w:t>
                  </w:r>
                  <w:proofErr w:type="spellEnd"/>
                </w:p>
                <w:p w14:paraId="3CBAFB8C" w14:textId="77777777" w:rsidR="000D2CD3" w:rsidRPr="00766A90" w:rsidRDefault="000D2CD3" w:rsidP="000D2CD3">
                  <w:pPr>
                    <w:pStyle w:val="Default"/>
                    <w:ind w:firstLine="709"/>
                    <w:jc w:val="both"/>
                  </w:pPr>
                  <w:r>
                    <w:t>69-77:</w:t>
                  </w:r>
                  <w:r w:rsidRPr="00766A90">
                    <w:t>db</w:t>
                  </w:r>
                </w:p>
                <w:p w14:paraId="6C51063F" w14:textId="77777777" w:rsidR="000D2CD3" w:rsidRPr="00766A90" w:rsidRDefault="000D2CD3" w:rsidP="000D2CD3">
                  <w:pPr>
                    <w:pStyle w:val="Default"/>
                    <w:ind w:firstLine="709"/>
                    <w:jc w:val="both"/>
                  </w:pPr>
                  <w:r>
                    <w:t>59-68</w:t>
                  </w:r>
                  <w:r w:rsidRPr="00766A90">
                    <w:t>:+</w:t>
                  </w:r>
                  <w:proofErr w:type="spellStart"/>
                  <w:r w:rsidRPr="00766A90">
                    <w:t>dst</w:t>
                  </w:r>
                  <w:proofErr w:type="spellEnd"/>
                </w:p>
                <w:p w14:paraId="7B698E4D" w14:textId="77777777" w:rsidR="000D2CD3" w:rsidRPr="00766A90" w:rsidRDefault="000D2CD3" w:rsidP="000D2CD3">
                  <w:pPr>
                    <w:pStyle w:val="Default"/>
                    <w:ind w:firstLine="709"/>
                    <w:jc w:val="both"/>
                  </w:pPr>
                  <w:r>
                    <w:t>50-58</w:t>
                  </w:r>
                  <w:r w:rsidRPr="00766A90">
                    <w:t>:dst</w:t>
                  </w:r>
                </w:p>
                <w:p w14:paraId="1B852413" w14:textId="77777777" w:rsidR="000D2CD3" w:rsidRPr="00766A90" w:rsidRDefault="000D2CD3" w:rsidP="000D2CD3">
                  <w:pPr>
                    <w:pStyle w:val="Default"/>
                    <w:ind w:firstLine="709"/>
                    <w:jc w:val="both"/>
                  </w:pPr>
                  <w:r>
                    <w:t>0-49:</w:t>
                  </w:r>
                  <w:r w:rsidRPr="00766A90">
                    <w:t>ndst</w:t>
                  </w:r>
                </w:p>
                <w:p w14:paraId="76492A6A" w14:textId="375E219A" w:rsidR="000D2215" w:rsidRDefault="0001382F" w:rsidP="003B416C">
                  <w:pPr>
                    <w:pStyle w:val="Default"/>
                    <w:ind w:firstLine="709"/>
                    <w:jc w:val="both"/>
                  </w:pPr>
                  <w:r>
                    <w:t>W zakresie zajęć tradycyjnych, n</w:t>
                  </w:r>
                  <w:r w:rsidR="000D2215" w:rsidRPr="00B72EC8">
                    <w:t xml:space="preserve">ieprzygotowanie do zajęć uniemożliwiające przeprowadzenie analizy, charakterystyki, porównywania i klasyfikowania poszczególnych instytucji, odmowa wzięcia udziału w dyskusji czy rozwiązywania kazusów skutkować będzie nieosiągnięciem zakładanych efektów kształcenia, a tym samym odmową zaliczenia przedmiotu. </w:t>
                  </w:r>
                </w:p>
                <w:p w14:paraId="313BE850" w14:textId="561F31FE" w:rsidR="00770093" w:rsidRPr="00B72EC8" w:rsidRDefault="00770093" w:rsidP="003B416C">
                  <w:pPr>
                    <w:pStyle w:val="Default"/>
                    <w:ind w:firstLine="709"/>
                    <w:jc w:val="both"/>
                  </w:pPr>
                  <w:r>
                    <w:t xml:space="preserve">W zakresie zajęć online, brak zapoznania się z prezentacjami i </w:t>
                  </w:r>
                  <w:r w:rsidR="00CA0AE5">
                    <w:t xml:space="preserve">rozwiązania quizów odpowiadających zakresem </w:t>
                  </w:r>
                  <w:r w:rsidR="00087BB6">
                    <w:t xml:space="preserve">tym zajęciom </w:t>
                  </w:r>
                  <w:r w:rsidR="004A6422">
                    <w:t xml:space="preserve">z wynikiem minimalnie 80% </w:t>
                  </w:r>
                  <w:r w:rsidR="00087BB6">
                    <w:t>uważany będzie za nieobecność na zajęciach.</w:t>
                  </w:r>
                  <w:r w:rsidR="008C05C9">
                    <w:t xml:space="preserve"> Nie ma możliwości „odrabiania” zajęć. </w:t>
                  </w:r>
                </w:p>
                <w:p w14:paraId="6FED125A" w14:textId="77777777" w:rsidR="000D2215" w:rsidRPr="00B72EC8" w:rsidRDefault="000D2215" w:rsidP="003B41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EC8">
                    <w:rPr>
                      <w:rFonts w:ascii="Times New Roman" w:hAnsi="Times New Roman"/>
                      <w:sz w:val="24"/>
                      <w:szCs w:val="24"/>
                    </w:rPr>
                    <w:t>Zaliczenie przedmiotu warunkowane jest zaliczeniem wszystkich jego komponentów (wiedza, umieję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tności, kompetencje społeczne), osobno dla każdego z modułów.</w:t>
                  </w:r>
                </w:p>
              </w:tc>
            </w:tr>
          </w:tbl>
          <w:p w14:paraId="36FCBECE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215" w:rsidRPr="00B72EC8" w14:paraId="45B905F8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02C17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6929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Język wykładowy:</w:t>
            </w:r>
          </w:p>
          <w:p w14:paraId="3C773F02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Polski</w:t>
            </w:r>
          </w:p>
        </w:tc>
      </w:tr>
      <w:tr w:rsidR="000D2215" w:rsidRPr="00B72EC8" w14:paraId="5277A9B3" w14:textId="77777777" w:rsidTr="008101B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6D78E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41F7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Obciążenie pracą studenta</w:t>
            </w:r>
          </w:p>
        </w:tc>
      </w:tr>
      <w:tr w:rsidR="000D2215" w:rsidRPr="00B72EC8" w14:paraId="1AA148FE" w14:textId="77777777" w:rsidTr="008101B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6135D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1C0BD" w14:textId="77777777" w:rsidR="000D2215" w:rsidRPr="00B72EC8" w:rsidRDefault="000D2215" w:rsidP="003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Forma </w:t>
            </w:r>
            <w:proofErr w:type="spellStart"/>
            <w:r w:rsidRPr="00B72EC8">
              <w:rPr>
                <w:rFonts w:ascii="Times New Roman" w:hAnsi="Times New Roman"/>
                <w:sz w:val="24"/>
                <w:szCs w:val="24"/>
                <w:lang w:val="en-US"/>
              </w:rPr>
              <w:t>aktywności</w:t>
            </w:r>
            <w:proofErr w:type="spellEnd"/>
            <w:r w:rsidRPr="00B72E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C8">
              <w:rPr>
                <w:rFonts w:ascii="Times New Roman" w:hAnsi="Times New Roman"/>
                <w:sz w:val="24"/>
                <w:szCs w:val="24"/>
                <w:lang w:val="en-US"/>
              </w:rPr>
              <w:t>studenta</w:t>
            </w:r>
            <w:proofErr w:type="spellEnd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BFFE" w14:textId="77777777" w:rsidR="000D2215" w:rsidRPr="00B72EC8" w:rsidRDefault="000D2215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Średnia liczba godzin na zrealizowanie aktywności</w:t>
            </w:r>
          </w:p>
        </w:tc>
      </w:tr>
      <w:tr w:rsidR="000D2215" w:rsidRPr="00B72EC8" w14:paraId="63194D03" w14:textId="77777777" w:rsidTr="008101B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0A52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C1A8" w14:textId="77777777" w:rsidR="000D2215" w:rsidRPr="00B72EC8" w:rsidRDefault="000D2215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Godziny zajęć (wg planu studiów) z nauczycielem:</w:t>
            </w:r>
          </w:p>
          <w:p w14:paraId="15142A04" w14:textId="77777777" w:rsidR="000D2215" w:rsidRPr="00B72EC8" w:rsidRDefault="000D2215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 xml:space="preserve">- wykład: </w:t>
            </w:r>
          </w:p>
          <w:p w14:paraId="419CA914" w14:textId="77777777" w:rsidR="000D2215" w:rsidRPr="00B72EC8" w:rsidRDefault="000D2215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 xml:space="preserve">- ćwiczenia: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4500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0ED6D796" w14:textId="424AF5F5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 tym 1</w:t>
            </w:r>
            <w:r w:rsidR="006041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online)</w:t>
            </w:r>
          </w:p>
        </w:tc>
      </w:tr>
      <w:tr w:rsidR="000D2215" w:rsidRPr="00B72EC8" w14:paraId="7D8E2A3D" w14:textId="77777777" w:rsidTr="008101B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C5CC8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045B0" w14:textId="77777777" w:rsidR="000D2215" w:rsidRPr="00B72EC8" w:rsidRDefault="000D2215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Praca własna studenta</w:t>
            </w:r>
            <w:r w:rsidRPr="00B72E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7CBFA0" w14:textId="6DA88018" w:rsidR="000D2215" w:rsidRDefault="000D2215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B2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opracowanie zagadnień i zamieszczenie postów i odpowiedzi na posty</w:t>
            </w:r>
          </w:p>
          <w:p w14:paraId="72DDE1F8" w14:textId="038D09AE" w:rsidR="007E333C" w:rsidRDefault="007E333C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2EC8">
              <w:rPr>
                <w:rFonts w:ascii="Times New Roman" w:hAnsi="Times New Roman"/>
                <w:sz w:val="24"/>
                <w:szCs w:val="24"/>
              </w:rPr>
              <w:t>przygotowanie do zajęć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tradycyjnych</w:t>
            </w:r>
            <w:r w:rsidRPr="00B72E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01F755C" w14:textId="0ADD9D08" w:rsidR="000D2215" w:rsidRPr="00B72EC8" w:rsidRDefault="000D2215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- czytanie wskazanej literatury:</w:t>
            </w:r>
          </w:p>
          <w:p w14:paraId="11E61B93" w14:textId="17CD535A" w:rsidR="000D2215" w:rsidRPr="00B72EC8" w:rsidRDefault="000D2215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 xml:space="preserve">- przygotowanie do egzaminu: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7F03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61812A" w14:textId="5D43B80B" w:rsidR="000D2215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A4F164" w14:textId="61CCEEC5" w:rsidR="000D2215" w:rsidRDefault="00FD540B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4565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6CD4798" w14:textId="44F45574" w:rsidR="000D2215" w:rsidRDefault="00345659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06778D3" w14:textId="37FE2295" w:rsidR="000D2215" w:rsidRPr="00B72EC8" w:rsidRDefault="00C4090F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2215" w:rsidRPr="00B72E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C92FA04" w14:textId="720A2C5C" w:rsidR="000D2215" w:rsidRPr="00B72EC8" w:rsidRDefault="00846A11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2215" w:rsidRPr="00B72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2215" w:rsidRPr="00B72EC8" w14:paraId="4BB2C39C" w14:textId="77777777" w:rsidTr="008101B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6E9B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014F" w14:textId="77777777" w:rsidR="000D2215" w:rsidRPr="00B72EC8" w:rsidRDefault="000D2215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Suma </w:t>
            </w:r>
            <w:proofErr w:type="spellStart"/>
            <w:r w:rsidRPr="00B72EC8">
              <w:rPr>
                <w:rFonts w:ascii="Times New Roman" w:hAnsi="Times New Roman"/>
                <w:sz w:val="24"/>
                <w:szCs w:val="24"/>
                <w:lang w:val="en-US"/>
              </w:rPr>
              <w:t>godzin</w:t>
            </w:r>
            <w:proofErr w:type="spellEnd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F4BC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C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0D2215" w:rsidRPr="00B72EC8" w14:paraId="3B2353BB" w14:textId="77777777" w:rsidTr="008101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266B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9C2E" w14:textId="77777777" w:rsidR="000D2215" w:rsidRPr="00B72EC8" w:rsidRDefault="000D2215" w:rsidP="003B41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2E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Liczba</w:t>
            </w:r>
            <w:proofErr w:type="spellEnd"/>
            <w:r w:rsidRPr="00B72E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punktów</w:t>
            </w:r>
            <w:proofErr w:type="spellEnd"/>
            <w:r w:rsidRPr="00B72E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ECTS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6B3A" w14:textId="77777777" w:rsidR="000D2215" w:rsidRPr="00B72EC8" w:rsidRDefault="000D2215" w:rsidP="003B4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E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14:paraId="55500799" w14:textId="77777777" w:rsidR="000D2215" w:rsidRPr="00B72EC8" w:rsidRDefault="000D2215" w:rsidP="000D2215">
      <w:pPr>
        <w:jc w:val="both"/>
        <w:rPr>
          <w:rFonts w:ascii="Times New Roman" w:hAnsi="Times New Roman"/>
          <w:sz w:val="24"/>
          <w:szCs w:val="24"/>
        </w:rPr>
      </w:pPr>
    </w:p>
    <w:p w14:paraId="7A404A2D" w14:textId="77777777" w:rsidR="000D2215" w:rsidRPr="00B72EC8" w:rsidRDefault="000D2215" w:rsidP="000D2215">
      <w:pPr>
        <w:rPr>
          <w:rFonts w:ascii="Times New Roman" w:hAnsi="Times New Roman"/>
          <w:sz w:val="24"/>
          <w:szCs w:val="24"/>
        </w:rPr>
      </w:pPr>
    </w:p>
    <w:p w14:paraId="0F6A9923" w14:textId="77777777" w:rsidR="00415804" w:rsidRDefault="00415804"/>
    <w:sectPr w:rsidR="0041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56A9"/>
    <w:multiLevelType w:val="hybridMultilevel"/>
    <w:tmpl w:val="679C4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502B"/>
    <w:multiLevelType w:val="hybridMultilevel"/>
    <w:tmpl w:val="864EE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D437A"/>
    <w:multiLevelType w:val="hybridMultilevel"/>
    <w:tmpl w:val="036CC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15"/>
    <w:rsid w:val="0001382F"/>
    <w:rsid w:val="00047A0E"/>
    <w:rsid w:val="00087BB6"/>
    <w:rsid w:val="000D1516"/>
    <w:rsid w:val="000D2215"/>
    <w:rsid w:val="000D2CD3"/>
    <w:rsid w:val="000E7FB0"/>
    <w:rsid w:val="00144A56"/>
    <w:rsid w:val="00151DA2"/>
    <w:rsid w:val="00195333"/>
    <w:rsid w:val="001A4D7F"/>
    <w:rsid w:val="001C5AD0"/>
    <w:rsid w:val="001C7414"/>
    <w:rsid w:val="00281D9B"/>
    <w:rsid w:val="002D7C47"/>
    <w:rsid w:val="00300A5C"/>
    <w:rsid w:val="00307F47"/>
    <w:rsid w:val="00345659"/>
    <w:rsid w:val="0037183D"/>
    <w:rsid w:val="00375781"/>
    <w:rsid w:val="003F4197"/>
    <w:rsid w:val="00415804"/>
    <w:rsid w:val="00424C67"/>
    <w:rsid w:val="004325F5"/>
    <w:rsid w:val="004616DC"/>
    <w:rsid w:val="00490309"/>
    <w:rsid w:val="004A6422"/>
    <w:rsid w:val="004F267A"/>
    <w:rsid w:val="004F30F0"/>
    <w:rsid w:val="00537E1C"/>
    <w:rsid w:val="0055256D"/>
    <w:rsid w:val="0059281E"/>
    <w:rsid w:val="006041BF"/>
    <w:rsid w:val="00651374"/>
    <w:rsid w:val="006971CC"/>
    <w:rsid w:val="006E79F3"/>
    <w:rsid w:val="006F3A5B"/>
    <w:rsid w:val="0070605B"/>
    <w:rsid w:val="0071072A"/>
    <w:rsid w:val="00755EFB"/>
    <w:rsid w:val="00766A90"/>
    <w:rsid w:val="00770093"/>
    <w:rsid w:val="007E333C"/>
    <w:rsid w:val="008101B4"/>
    <w:rsid w:val="00813A39"/>
    <w:rsid w:val="00846A11"/>
    <w:rsid w:val="008C05C9"/>
    <w:rsid w:val="008C4D20"/>
    <w:rsid w:val="008F1BF6"/>
    <w:rsid w:val="00921299"/>
    <w:rsid w:val="00931B9A"/>
    <w:rsid w:val="00976D99"/>
    <w:rsid w:val="009C6812"/>
    <w:rsid w:val="009D4B7F"/>
    <w:rsid w:val="00A63528"/>
    <w:rsid w:val="00A92EC5"/>
    <w:rsid w:val="00A94745"/>
    <w:rsid w:val="00AD77B3"/>
    <w:rsid w:val="00B42FCF"/>
    <w:rsid w:val="00BB290C"/>
    <w:rsid w:val="00BC51BC"/>
    <w:rsid w:val="00C03DE3"/>
    <w:rsid w:val="00C21D5B"/>
    <w:rsid w:val="00C4090F"/>
    <w:rsid w:val="00C7580D"/>
    <w:rsid w:val="00C95B3B"/>
    <w:rsid w:val="00CA0AE5"/>
    <w:rsid w:val="00CA170A"/>
    <w:rsid w:val="00CA299A"/>
    <w:rsid w:val="00CA315A"/>
    <w:rsid w:val="00D66858"/>
    <w:rsid w:val="00D913D1"/>
    <w:rsid w:val="00D96648"/>
    <w:rsid w:val="00DA2A40"/>
    <w:rsid w:val="00DA7CDE"/>
    <w:rsid w:val="00DC7C0A"/>
    <w:rsid w:val="00E20867"/>
    <w:rsid w:val="00E55641"/>
    <w:rsid w:val="00EE71FB"/>
    <w:rsid w:val="00EF6892"/>
    <w:rsid w:val="00F14660"/>
    <w:rsid w:val="00F818A1"/>
    <w:rsid w:val="00F83452"/>
    <w:rsid w:val="00FA1929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FC02"/>
  <w15:chartTrackingRefBased/>
  <w15:docId w15:val="{66CD4A17-121D-4E4D-94BF-7E372958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2215"/>
    <w:pPr>
      <w:suppressAutoHyphens/>
      <w:spacing w:after="200" w:line="276" w:lineRule="auto"/>
    </w:pPr>
    <w:rPr>
      <w:rFonts w:ascii="Calibri" w:eastAsia="Calibri" w:hAnsi="Calibri" w:cs="Times New Roman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215"/>
    <w:pPr>
      <w:ind w:left="720"/>
      <w:contextualSpacing/>
    </w:pPr>
    <w:rPr>
      <w:lang w:eastAsia="ar-SA"/>
    </w:rPr>
  </w:style>
  <w:style w:type="paragraph" w:customStyle="1" w:styleId="Default">
    <w:name w:val="Default"/>
    <w:rsid w:val="000D2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5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Dobromiła Nowicka</dc:creator>
  <cp:keywords/>
  <dc:description/>
  <cp:lastModifiedBy>Dobromiła Nowicka</cp:lastModifiedBy>
  <cp:revision>83</cp:revision>
  <dcterms:created xsi:type="dcterms:W3CDTF">2018-02-05T11:13:00Z</dcterms:created>
  <dcterms:modified xsi:type="dcterms:W3CDTF">2018-02-07T15:42:00Z</dcterms:modified>
</cp:coreProperties>
</file>