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4B" w:rsidRDefault="00D90782">
      <w:r>
        <w:t>WSTĘP DO PRAWOZNAWSTWA – Zagadnienia egzaminacyjne</w:t>
      </w:r>
    </w:p>
    <w:p w:rsidR="00B93BB9" w:rsidRDefault="00B93BB9" w:rsidP="00D90782">
      <w:pPr>
        <w:pStyle w:val="Akapitzlist"/>
        <w:numPr>
          <w:ilvl w:val="0"/>
          <w:numId w:val="1"/>
        </w:numPr>
      </w:pPr>
      <w:r>
        <w:t>Pojęcie prawoznawstwa/ metody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Podstawowe</w:t>
      </w:r>
      <w:r w:rsidR="00B93BB9">
        <w:t xml:space="preserve"> koncepcje prawa</w:t>
      </w:r>
      <w:bookmarkStart w:id="0" w:name="_GoBack"/>
      <w:bookmarkEnd w:id="0"/>
      <w:r>
        <w:t xml:space="preserve"> (pozytywizm/</w:t>
      </w:r>
      <w:proofErr w:type="spellStart"/>
      <w:r>
        <w:t>jusnaturalizm</w:t>
      </w:r>
      <w:proofErr w:type="spellEnd"/>
      <w:r>
        <w:t>/realizm)</w:t>
      </w:r>
    </w:p>
    <w:p w:rsidR="00B93BB9" w:rsidRDefault="00B93BB9" w:rsidP="00D90782">
      <w:pPr>
        <w:pStyle w:val="Akapitzlist"/>
        <w:numPr>
          <w:ilvl w:val="0"/>
          <w:numId w:val="1"/>
        </w:numPr>
      </w:pPr>
      <w:r>
        <w:t>Nauki prawne i ich rodzaje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Koncepcje budowy normy prawnej/rodzaje norm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Przepis prawa/rodzaje przepisów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System prawa/pojęcie/systemy typy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Kolizje norm i reguły kolizyjne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Obowiązywanie prawa/ koncepcje, przesłanki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 xml:space="preserve">Tworzenie prawa/ stanowienie/tryb </w:t>
      </w:r>
      <w:proofErr w:type="spellStart"/>
      <w:r>
        <w:t>kontraktualny</w:t>
      </w:r>
      <w:proofErr w:type="spellEnd"/>
      <w:r>
        <w:t>/precedens/zwyczaj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Stosowanie prawa/pojęcie i typy</w:t>
      </w:r>
      <w:r w:rsidR="00B93BB9">
        <w:t>/etapy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Wnioskowania prawnicze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Wykładnia prawa/ ideologia/koncepcje/dyrektywy wykładni/rodzaje wykładni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Dowody/domniemania/fikcje prawne/teorie dowodowe/zakazy dowodowe</w:t>
      </w:r>
    </w:p>
    <w:p w:rsidR="00D90782" w:rsidRDefault="00D90782" w:rsidP="00D90782">
      <w:pPr>
        <w:pStyle w:val="Akapitzlist"/>
        <w:numPr>
          <w:ilvl w:val="0"/>
          <w:numId w:val="1"/>
        </w:numPr>
      </w:pPr>
      <w:r>
        <w:t>Stosunek prawny/elementy/zdolność prawna i do czynności prawnych/ osoby fizyczne/osoby prawne</w:t>
      </w:r>
    </w:p>
    <w:p w:rsidR="00D90782" w:rsidRDefault="00D90782" w:rsidP="00D90782">
      <w:pPr>
        <w:pStyle w:val="Akapitzlist"/>
      </w:pPr>
    </w:p>
    <w:p w:rsidR="00D90782" w:rsidRDefault="00D90782" w:rsidP="00D90782">
      <w:pPr>
        <w:pStyle w:val="Akapitzlist"/>
      </w:pPr>
      <w:r>
        <w:t>Podstawą zaliczenia egzaminu jest dokładna znajomość wykładu</w:t>
      </w:r>
    </w:p>
    <w:sectPr w:rsidR="00D9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BB4"/>
    <w:multiLevelType w:val="hybridMultilevel"/>
    <w:tmpl w:val="BE0C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2"/>
    <w:rsid w:val="002B4AB2"/>
    <w:rsid w:val="00542029"/>
    <w:rsid w:val="007C6C4B"/>
    <w:rsid w:val="00B93BB9"/>
    <w:rsid w:val="00D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2019-01-29T08:55:00Z</dcterms:created>
  <dcterms:modified xsi:type="dcterms:W3CDTF">2019-01-29T08:57:00Z</dcterms:modified>
</cp:coreProperties>
</file>