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rFonts w:ascii="Times New Roman" w:hAnsi="Times New Roman"/>
          <w:b/>
          <w:bCs/>
          <w:i w:val="false"/>
          <w:iCs w:val="false"/>
          <w:sz w:val="24"/>
          <w:szCs w:val="24"/>
        </w:rPr>
        <w:t>WADY OŚWIADCZENIA WOLI</w:t>
      </w:r>
    </w:p>
    <w:p>
      <w:pPr>
        <w:pStyle w:val="Normal"/>
        <w:spacing w:lineRule="auto" w:line="276"/>
        <w:jc w:val="center"/>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jc w:val="both"/>
        <w:rPr/>
      </w:pPr>
      <w:r>
        <w:rPr>
          <w:rFonts w:ascii="Times New Roman" w:hAnsi="Times New Roman"/>
          <w:b/>
          <w:bCs/>
          <w:i w:val="false"/>
          <w:iCs w:val="false"/>
          <w:sz w:val="24"/>
          <w:szCs w:val="24"/>
        </w:rPr>
        <w:t>1) Brak świadomości lub swobody</w:t>
      </w:r>
    </w:p>
    <w:p>
      <w:pPr>
        <w:pStyle w:val="Normal"/>
        <w:spacing w:lineRule="auto" w:line="276"/>
        <w:jc w:val="both"/>
        <w:rPr/>
      </w:pPr>
      <w:r>
        <w:rPr>
          <w:rFonts w:ascii="Times New Roman" w:hAnsi="Times New Roman"/>
          <w:b/>
          <w:bCs/>
          <w:i w:val="false"/>
          <w:iCs w:val="false"/>
          <w:sz w:val="24"/>
          <w:szCs w:val="24"/>
        </w:rPr>
        <w:t>2) Pozorność</w:t>
      </w:r>
    </w:p>
    <w:p>
      <w:pPr>
        <w:pStyle w:val="Normal"/>
        <w:spacing w:lineRule="auto" w:line="276"/>
        <w:jc w:val="both"/>
        <w:rPr/>
      </w:pPr>
      <w:r>
        <w:rPr>
          <w:rFonts w:ascii="Times New Roman" w:hAnsi="Times New Roman"/>
          <w:b/>
          <w:bCs/>
          <w:i w:val="false"/>
          <w:iCs w:val="false"/>
          <w:sz w:val="24"/>
          <w:szCs w:val="24"/>
        </w:rPr>
        <w:t>3) Błąd (w tym podstęp)</w:t>
      </w:r>
    </w:p>
    <w:p>
      <w:pPr>
        <w:pStyle w:val="Normal"/>
        <w:spacing w:lineRule="auto" w:line="276"/>
        <w:jc w:val="both"/>
        <w:rPr/>
      </w:pPr>
      <w:r>
        <w:rPr>
          <w:rFonts w:ascii="Times New Roman" w:hAnsi="Times New Roman"/>
          <w:b/>
          <w:bCs/>
          <w:i w:val="false"/>
          <w:iCs w:val="false"/>
          <w:sz w:val="24"/>
          <w:szCs w:val="24"/>
        </w:rPr>
        <w:t>4) Groźba</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pPr>
      <w:r>
        <w:rPr>
          <w:rFonts w:ascii="Times New Roman" w:hAnsi="Times New Roman"/>
          <w:b/>
          <w:bCs/>
          <w:sz w:val="24"/>
          <w:szCs w:val="24"/>
        </w:rPr>
        <w:t>Brak świadomości lub swobody</w:t>
      </w:r>
    </w:p>
    <w:p>
      <w:pPr>
        <w:pStyle w:val="Normal"/>
        <w:spacing w:lineRule="auto" w:line="276"/>
        <w:jc w:val="both"/>
        <w:rPr/>
      </w:pPr>
      <w:r>
        <w:rPr>
          <w:rFonts w:ascii="Times New Roman" w:hAnsi="Times New Roman"/>
          <w:b/>
          <w:bCs/>
          <w:sz w:val="24"/>
          <w:szCs w:val="24"/>
        </w:rPr>
        <w:t>Brak świadomości</w:t>
      </w:r>
      <w:r>
        <w:rPr>
          <w:rFonts w:ascii="Times New Roman" w:hAnsi="Times New Roman"/>
          <w:sz w:val="24"/>
          <w:szCs w:val="24"/>
        </w:rPr>
        <w:t xml:space="preserve"> – stan charakteryzujący się zupełnym brakiem rozeznania sytuacji i przedsiębranych przez siebie kroków, choć nie musi polegać na pełnym zaniku świadomości, np. omdlenie, ustanie czynności mózgu; wystarczające jest jednak istnienie takiego stanu, który oznacza brak rozeznania, niemożność rozumienia posunięć własnych i innych osób oraz niezdawanie sobie sprawy ze znaczenia i skutków własnego postępowania. </w:t>
      </w:r>
    </w:p>
    <w:p>
      <w:pPr>
        <w:pStyle w:val="Normal"/>
        <w:spacing w:lineRule="auto" w:line="276"/>
        <w:jc w:val="both"/>
        <w:rPr/>
      </w:pPr>
      <w:r>
        <w:rPr>
          <w:rFonts w:ascii="Times New Roman" w:hAnsi="Times New Roman"/>
          <w:b/>
          <w:bCs/>
          <w:sz w:val="24"/>
          <w:szCs w:val="24"/>
        </w:rPr>
        <w:t>Brak swobody</w:t>
      </w:r>
      <w:r>
        <w:rPr>
          <w:rFonts w:ascii="Times New Roman" w:hAnsi="Times New Roman"/>
          <w:sz w:val="24"/>
          <w:szCs w:val="24"/>
        </w:rPr>
        <w:t xml:space="preserve"> – stan,  w którym osoba rozpoznaje co prawda sens własnego i obcego działania, ale pod wpływem negatywnego oddziaływania pewnych czynników psychicznych wyłączona jest możliwość swobodnego (nieskrępowanego decydowania), np. działanie pod wpływem łaknienia środków odurzających lub w warunkach ostatecznego wyczerpania organizmu i siły woli spowodowanych ciężką chorobą.</w:t>
      </w:r>
    </w:p>
    <w:p>
      <w:pPr>
        <w:pStyle w:val="Normal"/>
        <w:spacing w:lineRule="auto" w:line="276"/>
        <w:rPr/>
      </w:pPr>
      <w:r>
        <w:rPr>
          <w:rFonts w:ascii="Times New Roman" w:hAnsi="Times New Roman"/>
          <w:b/>
          <w:bCs/>
          <w:sz w:val="24"/>
          <w:szCs w:val="24"/>
        </w:rPr>
        <w:t>Trudna sytuacja ekonomiczna nie wyłącza świadomości albo swobody</w:t>
      </w:r>
    </w:p>
    <w:p>
      <w:pPr>
        <w:pStyle w:val="Normal"/>
        <w:spacing w:lineRule="auto" w:line="276"/>
        <w:rPr/>
      </w:pPr>
      <w:r>
        <w:rPr>
          <w:rFonts w:ascii="Times New Roman" w:hAnsi="Times New Roman"/>
          <w:sz w:val="24"/>
          <w:szCs w:val="24"/>
        </w:rPr>
        <w:t>Przyczyny nietypowego stanu psychiki: „jakiekolwiek”, np. choroba psychiczna i niedorozwój umysłowy.</w:t>
      </w:r>
    </w:p>
    <w:p>
      <w:pPr>
        <w:pStyle w:val="Normal"/>
        <w:spacing w:lineRule="auto" w:line="276"/>
        <w:rPr/>
      </w:pPr>
      <w:r>
        <w:rPr>
          <w:rFonts w:ascii="Times New Roman" w:hAnsi="Times New Roman"/>
          <w:sz w:val="24"/>
          <w:szCs w:val="24"/>
        </w:rPr>
        <w:t>Przykłady z praktyki: pourazowe zaburzenia psychiczne, psychozy, stany depresyjne lub maniakalne, uwiąd starczy, alkoholizm, narkomania, długotrwała obłożna choroba</w:t>
      </w:r>
    </w:p>
    <w:p>
      <w:pPr>
        <w:pStyle w:val="Normal"/>
        <w:spacing w:lineRule="auto" w:line="276"/>
        <w:rPr/>
      </w:pPr>
      <w:r>
        <w:rPr>
          <w:rFonts w:ascii="Times New Roman" w:hAnsi="Times New Roman"/>
          <w:sz w:val="24"/>
          <w:szCs w:val="24"/>
        </w:rPr>
        <w:t>Sankcja: bezwzględna nieważność</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pPr>
      <w:r>
        <w:rPr>
          <w:rFonts w:ascii="Times New Roman" w:hAnsi="Times New Roman"/>
          <w:b/>
          <w:bCs/>
          <w:sz w:val="24"/>
          <w:szCs w:val="24"/>
        </w:rPr>
        <w:t>Groźba</w:t>
      </w:r>
      <w:r>
        <w:rPr>
          <w:rFonts w:ascii="Times New Roman" w:hAnsi="Times New Roman"/>
          <w:sz w:val="24"/>
          <w:szCs w:val="24"/>
        </w:rPr>
        <w:t>:</w:t>
      </w:r>
    </w:p>
    <w:p>
      <w:pPr>
        <w:pStyle w:val="Normal"/>
        <w:spacing w:lineRule="auto" w:line="276"/>
        <w:rPr/>
      </w:pPr>
      <w:r>
        <w:rPr>
          <w:rFonts w:ascii="Times New Roman" w:hAnsi="Times New Roman"/>
          <w:b/>
          <w:bCs/>
          <w:sz w:val="24"/>
          <w:szCs w:val="24"/>
        </w:rPr>
        <w:t>Groźba</w:t>
      </w:r>
      <w:r>
        <w:rPr>
          <w:rFonts w:ascii="Times New Roman" w:hAnsi="Times New Roman"/>
          <w:sz w:val="24"/>
          <w:szCs w:val="24"/>
        </w:rPr>
        <w:t xml:space="preserve"> – osoba znajduje się w stanie przymusu </w:t>
      </w:r>
      <w:r>
        <w:rPr>
          <w:rFonts w:ascii="Times New Roman" w:hAnsi="Times New Roman"/>
          <w:b/>
          <w:bCs/>
          <w:sz w:val="24"/>
          <w:szCs w:val="24"/>
        </w:rPr>
        <w:t>psychicznego</w:t>
      </w:r>
      <w:r>
        <w:rPr>
          <w:rFonts w:ascii="Times New Roman" w:hAnsi="Times New Roman"/>
          <w:sz w:val="24"/>
          <w:szCs w:val="24"/>
        </w:rPr>
        <w:t xml:space="preserve">. </w:t>
      </w:r>
      <w:r>
        <w:rPr>
          <w:rFonts w:ascii="Times New Roman" w:hAnsi="Times New Roman"/>
          <w:b/>
          <w:bCs/>
          <w:sz w:val="24"/>
          <w:szCs w:val="24"/>
        </w:rPr>
        <w:t>Przymus fizyczny</w:t>
      </w:r>
      <w:r>
        <w:rPr>
          <w:rFonts w:ascii="Times New Roman" w:hAnsi="Times New Roman"/>
          <w:sz w:val="24"/>
          <w:szCs w:val="24"/>
        </w:rPr>
        <w:t xml:space="preserve"> – nie ma w ogóle oświadczenia woli!</w:t>
      </w:r>
    </w:p>
    <w:p>
      <w:pPr>
        <w:pStyle w:val="Normal"/>
        <w:spacing w:lineRule="auto" w:line="276"/>
        <w:rPr/>
      </w:pPr>
      <w:r>
        <w:rPr>
          <w:rFonts w:ascii="Times New Roman" w:hAnsi="Times New Roman"/>
          <w:b/>
          <w:bCs/>
          <w:sz w:val="24"/>
          <w:szCs w:val="24"/>
        </w:rPr>
        <w:t>Groźba:</w:t>
      </w:r>
    </w:p>
    <w:p>
      <w:pPr>
        <w:pStyle w:val="Normal"/>
        <w:numPr>
          <w:ilvl w:val="0"/>
          <w:numId w:val="1"/>
        </w:numPr>
        <w:spacing w:lineRule="auto" w:line="276"/>
        <w:rPr/>
      </w:pPr>
      <w:r>
        <w:rPr>
          <w:rFonts w:ascii="Times New Roman" w:hAnsi="Times New Roman"/>
          <w:sz w:val="24"/>
          <w:szCs w:val="24"/>
        </w:rPr>
        <w:t xml:space="preserve">stan obawy został wywołany u drugiej osoby </w:t>
      </w:r>
      <w:r>
        <w:rPr>
          <w:rFonts w:ascii="Times New Roman" w:hAnsi="Times New Roman"/>
          <w:b/>
          <w:bCs/>
          <w:sz w:val="24"/>
          <w:szCs w:val="24"/>
        </w:rPr>
        <w:t>celowo</w:t>
      </w:r>
      <w:r>
        <w:rPr>
          <w:rFonts w:ascii="Times New Roman" w:hAnsi="Times New Roman"/>
          <w:sz w:val="24"/>
          <w:szCs w:val="24"/>
        </w:rPr>
        <w:t xml:space="preserve"> dla wymuszenia oświadczenia woli i to oświadczenia określonego przez grożącego,</w:t>
      </w:r>
    </w:p>
    <w:p>
      <w:pPr>
        <w:pStyle w:val="Normal"/>
        <w:numPr>
          <w:ilvl w:val="0"/>
          <w:numId w:val="1"/>
        </w:numPr>
        <w:spacing w:lineRule="auto" w:line="276"/>
        <w:rPr/>
      </w:pPr>
      <w:r>
        <w:rPr>
          <w:rFonts w:ascii="Times New Roman" w:hAnsi="Times New Roman"/>
          <w:sz w:val="24"/>
          <w:szCs w:val="24"/>
        </w:rPr>
        <w:t xml:space="preserve">groźba musi być  </w:t>
      </w:r>
      <w:r>
        <w:rPr>
          <w:rFonts w:ascii="Times New Roman" w:hAnsi="Times New Roman"/>
          <w:b/>
          <w:bCs/>
          <w:sz w:val="24"/>
          <w:szCs w:val="24"/>
        </w:rPr>
        <w:t>bezprawna</w:t>
      </w:r>
      <w:r>
        <w:rPr>
          <w:rFonts w:ascii="Times New Roman" w:hAnsi="Times New Roman"/>
          <w:sz w:val="24"/>
          <w:szCs w:val="24"/>
        </w:rPr>
        <w:t xml:space="preserve"> - zapowiedź użycia środka zabronionego przez prawo oraz sprzecznego z zasadami współżycia społecznego (np. groźba samobójstwa)</w:t>
      </w:r>
    </w:p>
    <w:p>
      <w:pPr>
        <w:pStyle w:val="Normal"/>
        <w:numPr>
          <w:ilvl w:val="0"/>
          <w:numId w:val="1"/>
        </w:numPr>
        <w:spacing w:lineRule="auto" w:line="276"/>
        <w:rPr/>
      </w:pPr>
      <w:r>
        <w:rPr>
          <w:rFonts w:ascii="Times New Roman" w:hAnsi="Times New Roman"/>
          <w:sz w:val="24"/>
          <w:szCs w:val="24"/>
        </w:rPr>
        <w:t xml:space="preserve">groźba musi być </w:t>
      </w:r>
      <w:r>
        <w:rPr>
          <w:rFonts w:ascii="Times New Roman" w:hAnsi="Times New Roman"/>
          <w:b/>
          <w:bCs/>
          <w:sz w:val="24"/>
          <w:szCs w:val="24"/>
        </w:rPr>
        <w:t>doniosła</w:t>
      </w:r>
      <w:r>
        <w:rPr>
          <w:rFonts w:ascii="Times New Roman" w:hAnsi="Times New Roman"/>
          <w:sz w:val="24"/>
          <w:szCs w:val="24"/>
        </w:rPr>
        <w:t xml:space="preserve"> – „poważnie niebezpieczeństwo osobiste i majątkowe</w:t>
      </w:r>
    </w:p>
    <w:p>
      <w:pPr>
        <w:pStyle w:val="Normal"/>
        <w:numPr>
          <w:ilvl w:val="0"/>
          <w:numId w:val="1"/>
        </w:numPr>
        <w:spacing w:lineRule="auto" w:line="276"/>
        <w:rPr/>
      </w:pPr>
      <w:r>
        <w:rPr>
          <w:rFonts w:ascii="Times New Roman" w:hAnsi="Times New Roman"/>
          <w:sz w:val="24"/>
          <w:szCs w:val="24"/>
        </w:rPr>
        <w:t xml:space="preserve">groźba musi być </w:t>
      </w:r>
      <w:r>
        <w:rPr>
          <w:rFonts w:ascii="Times New Roman" w:hAnsi="Times New Roman"/>
          <w:b/>
          <w:bCs/>
          <w:sz w:val="24"/>
          <w:szCs w:val="24"/>
        </w:rPr>
        <w:t>realna</w:t>
      </w:r>
      <w:r>
        <w:rPr>
          <w:rFonts w:ascii="Times New Roman" w:hAnsi="Times New Roman"/>
          <w:sz w:val="24"/>
          <w:szCs w:val="24"/>
        </w:rPr>
        <w:t xml:space="preserve"> – „składający oświadczenie „mógł się obawiać” </w:t>
      </w:r>
    </w:p>
    <w:p>
      <w:pPr>
        <w:pStyle w:val="Normal"/>
        <w:spacing w:lineRule="auto" w:line="276"/>
        <w:jc w:val="both"/>
        <w:rPr/>
      </w:pPr>
      <w:r>
        <w:rPr>
          <w:rFonts w:ascii="Times New Roman" w:hAnsi="Times New Roman"/>
          <w:sz w:val="24"/>
          <w:szCs w:val="24"/>
        </w:rPr>
        <w:t>Obojętne jest, czy określona groźba mogłaby wywołać skutki u osoby przeciętnie rozsądnej, czy też jedynie w przeświadczeniu danej jednostki, ze względu na jej szczególne właściwości psychiczne.</w:t>
      </w:r>
    </w:p>
    <w:p>
      <w:pPr>
        <w:pStyle w:val="Normal"/>
        <w:spacing w:lineRule="auto" w:line="276"/>
        <w:rPr>
          <w:rFonts w:ascii="Times New Roman" w:hAnsi="Times New Roman"/>
          <w:sz w:val="24"/>
          <w:szCs w:val="24"/>
        </w:rPr>
      </w:pPr>
      <w:r>
        <w:rPr>
          <w:rFonts w:ascii="Times New Roman" w:hAnsi="Times New Roman"/>
          <w:sz w:val="24"/>
          <w:szCs w:val="24"/>
        </w:rPr>
        <w:t>Sankcja: nieważność względna</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pPr>
      <w:r>
        <w:rPr>
          <w:rFonts w:ascii="Times New Roman" w:hAnsi="Times New Roman"/>
          <w:b/>
          <w:bCs/>
          <w:sz w:val="24"/>
          <w:szCs w:val="24"/>
        </w:rPr>
        <w:t>Błąd</w:t>
      </w:r>
    </w:p>
    <w:p>
      <w:pPr>
        <w:pStyle w:val="Normal"/>
        <w:spacing w:lineRule="auto" w:line="276"/>
        <w:rPr/>
      </w:pPr>
      <w:r>
        <w:rPr>
          <w:rFonts w:ascii="Times New Roman" w:hAnsi="Times New Roman"/>
          <w:b/>
          <w:bCs/>
          <w:sz w:val="24"/>
          <w:szCs w:val="24"/>
        </w:rPr>
        <w:t xml:space="preserve">Błąd </w:t>
      </w:r>
      <w:r>
        <w:rPr>
          <w:rFonts w:ascii="Times New Roman" w:hAnsi="Times New Roman"/>
          <w:sz w:val="24"/>
          <w:szCs w:val="24"/>
        </w:rPr>
        <w:t xml:space="preserve">– mylne wyobrażenie o rzeczywistości. </w:t>
      </w:r>
      <w:r>
        <w:rPr>
          <w:rFonts w:ascii="Times New Roman" w:hAnsi="Times New Roman"/>
          <w:b/>
          <w:bCs/>
          <w:sz w:val="24"/>
          <w:szCs w:val="24"/>
        </w:rPr>
        <w:t>Błąd musi być pranie doniosły.</w:t>
      </w:r>
    </w:p>
    <w:p>
      <w:pPr>
        <w:pStyle w:val="Normal"/>
        <w:spacing w:lineRule="auto" w:line="276"/>
        <w:jc w:val="both"/>
        <w:rPr/>
      </w:pPr>
      <w:r>
        <w:rPr>
          <w:rFonts w:ascii="Times New Roman" w:hAnsi="Times New Roman"/>
          <w:b/>
          <w:bCs/>
          <w:sz w:val="24"/>
          <w:szCs w:val="24"/>
        </w:rPr>
        <w:t>Błąd</w:t>
      </w:r>
      <w:r>
        <w:rPr>
          <w:rFonts w:ascii="Times New Roman" w:hAnsi="Times New Roman"/>
          <w:sz w:val="24"/>
          <w:szCs w:val="24"/>
        </w:rPr>
        <w:t xml:space="preserve"> ma dotyczyć </w:t>
      </w:r>
      <w:r>
        <w:rPr>
          <w:rFonts w:ascii="Times New Roman" w:hAnsi="Times New Roman"/>
          <w:b/>
          <w:bCs/>
          <w:sz w:val="24"/>
          <w:szCs w:val="24"/>
        </w:rPr>
        <w:t>treści czynności prawnej</w:t>
      </w:r>
      <w:r>
        <w:rPr>
          <w:rFonts w:ascii="Times New Roman" w:hAnsi="Times New Roman"/>
          <w:sz w:val="24"/>
          <w:szCs w:val="24"/>
        </w:rPr>
        <w:t xml:space="preserve">, niezależnie od tego czy element ten został wyrażony bezpośrednio w oświadczeniu woli podmiotu składającego oświadczenie, czy też chodzi o składnik uzupełniający treść czynności prawnej na podstawie </w:t>
      </w:r>
      <w:r>
        <w:rPr>
          <w:rFonts w:ascii="Times New Roman" w:hAnsi="Times New Roman"/>
          <w:b/>
          <w:bCs/>
          <w:sz w:val="24"/>
          <w:szCs w:val="24"/>
        </w:rPr>
        <w:t>art. 56 k.c</w:t>
      </w:r>
      <w:r>
        <w:rPr>
          <w:rFonts w:ascii="Times New Roman" w:hAnsi="Times New Roman"/>
          <w:sz w:val="24"/>
          <w:szCs w:val="24"/>
        </w:rPr>
        <w:t xml:space="preserve">., a wynikający wprost z ustawy, zasad współżycia społecznego i ustalonych zwyczajów. </w:t>
      </w:r>
    </w:p>
    <w:p>
      <w:pPr>
        <w:pStyle w:val="Normal"/>
        <w:spacing w:lineRule="auto" w:line="276"/>
        <w:jc w:val="both"/>
        <w:rPr>
          <w:rFonts w:ascii="Times New Roman" w:hAnsi="Times New Roman"/>
          <w:sz w:val="24"/>
          <w:szCs w:val="24"/>
        </w:rPr>
      </w:pPr>
      <w:r>
        <w:rPr>
          <w:rFonts w:ascii="Times New Roman" w:hAnsi="Times New Roman"/>
          <w:sz w:val="24"/>
          <w:szCs w:val="24"/>
        </w:rPr>
      </w:r>
    </w:p>
    <w:p>
      <w:pPr>
        <w:pStyle w:val="Normal"/>
        <w:spacing w:lineRule="auto" w:line="276"/>
        <w:rPr/>
      </w:pPr>
      <w:r>
        <w:rPr>
          <w:rFonts w:ascii="Times New Roman" w:hAnsi="Times New Roman"/>
          <w:b/>
          <w:bCs/>
          <w:sz w:val="24"/>
          <w:szCs w:val="24"/>
        </w:rPr>
        <w:t>Błąd musi być istotny</w:t>
      </w:r>
      <w:r>
        <w:rPr>
          <w:rFonts w:ascii="Times New Roman" w:hAnsi="Times New Roman"/>
          <w:sz w:val="24"/>
          <w:szCs w:val="24"/>
        </w:rPr>
        <w:t xml:space="preserve"> – definicja legalna  w </w:t>
      </w:r>
      <w:r>
        <w:rPr>
          <w:rFonts w:ascii="Times New Roman" w:hAnsi="Times New Roman"/>
          <w:b/>
          <w:bCs/>
          <w:sz w:val="24"/>
          <w:szCs w:val="24"/>
        </w:rPr>
        <w:t>k.c.</w:t>
      </w:r>
      <w:r>
        <w:rPr>
          <w:rFonts w:ascii="Times New Roman" w:hAnsi="Times New Roman"/>
          <w:sz w:val="24"/>
          <w:szCs w:val="24"/>
        </w:rPr>
        <w:t xml:space="preserve"> – zarówno przesłanki subiektywne, jak i obiektywne.</w:t>
      </w:r>
    </w:p>
    <w:p>
      <w:pPr>
        <w:pStyle w:val="Normal"/>
        <w:spacing w:lineRule="auto" w:line="276"/>
        <w:rPr>
          <w:rFonts w:ascii="Times New Roman" w:hAnsi="Times New Roman"/>
          <w:sz w:val="24"/>
          <w:szCs w:val="24"/>
        </w:rPr>
      </w:pPr>
      <w:r>
        <w:rPr>
          <w:rFonts w:ascii="Times New Roman" w:hAnsi="Times New Roman"/>
          <w:sz w:val="24"/>
          <w:szCs w:val="24"/>
        </w:rPr>
      </w:r>
    </w:p>
    <w:p>
      <w:pPr>
        <w:pStyle w:val="Tretekstu"/>
        <w:spacing w:lineRule="auto" w:line="276"/>
        <w:jc w:val="both"/>
        <w:rPr/>
      </w:pPr>
      <w:r>
        <w:rPr>
          <w:rFonts w:ascii="Times New Roman" w:hAnsi="Times New Roman"/>
          <w:color w:val="000000"/>
          <w:sz w:val="24"/>
          <w:szCs w:val="24"/>
        </w:rPr>
        <w:tab/>
        <w:t>Z komentarza Osajdy: „Nie każdy błąd dotyczący treści czynności prawnej uzasadnia z</w:t>
      </w:r>
      <w:r>
        <w:rPr>
          <w:rFonts w:ascii="Times New Roman" w:hAnsi="Times New Roman"/>
          <w:color w:val="000000"/>
          <w:sz w:val="24"/>
          <w:szCs w:val="24"/>
        </w:rPr>
        <w:t>niweczenie jest skutków; relewantny prawnie jest tylko błąd istotny. Oznacza to, że błąd stanowić musi </w:t>
      </w:r>
      <w:r>
        <w:rPr>
          <w:rFonts w:ascii="Times New Roman" w:hAnsi="Times New Roman"/>
          <w:i/>
          <w:color w:val="000000"/>
          <w:sz w:val="24"/>
          <w:szCs w:val="24"/>
        </w:rPr>
        <w:t>conditio sine qua non</w:t>
      </w:r>
      <w:r>
        <w:rPr>
          <w:rFonts w:ascii="Times New Roman" w:hAnsi="Times New Roman"/>
          <w:color w:val="000000"/>
          <w:sz w:val="24"/>
          <w:szCs w:val="24"/>
        </w:rPr>
        <w:t> złożenia oświadczenia woli – w przypadku braku błędu, gdyby składający oświadczenie prawidłowo oceniał sytuację, oświadczenie nie zostałoby złożone. W literaturze i orzecznictwie podnosi się, że błąd musi być istotny </w:t>
      </w:r>
      <w:r>
        <w:rPr>
          <w:rFonts w:ascii="Times New Roman" w:hAnsi="Times New Roman"/>
          <w:b/>
          <w:color w:val="000000"/>
          <w:sz w:val="24"/>
          <w:szCs w:val="24"/>
        </w:rPr>
        <w:t>subiektywnie</w:t>
      </w:r>
      <w:r>
        <w:rPr>
          <w:rFonts w:ascii="Times New Roman" w:hAnsi="Times New Roman"/>
          <w:color w:val="000000"/>
          <w:sz w:val="24"/>
          <w:szCs w:val="24"/>
        </w:rPr>
        <w:t> i </w:t>
      </w:r>
      <w:r>
        <w:rPr>
          <w:rFonts w:ascii="Times New Roman" w:hAnsi="Times New Roman"/>
          <w:b/>
          <w:color w:val="000000"/>
          <w:sz w:val="24"/>
          <w:szCs w:val="24"/>
        </w:rPr>
        <w:t>obiektywnie</w:t>
      </w:r>
      <w:r>
        <w:rPr>
          <w:rFonts w:ascii="Times New Roman" w:hAnsi="Times New Roman"/>
          <w:i/>
          <w:color w:val="000000"/>
          <w:sz w:val="24"/>
          <w:szCs w:val="24"/>
        </w:rPr>
        <w:t>.</w:t>
      </w:r>
      <w:r>
        <w:rPr>
          <w:rFonts w:ascii="Times New Roman" w:hAnsi="Times New Roman"/>
          <w:color w:val="000000"/>
          <w:sz w:val="24"/>
          <w:szCs w:val="24"/>
        </w:rPr>
        <w:t> Subiektywna istotność błędu oceniana powinna być przy uwzględnieniu istotności postanowień, których błąd dotyczył (najczęściej istotny będzie błąd dotyczący cech przedmiotu świadczenia) dla osoby, która złożyła oświadczenie. Istotność błędu musi być "także </w:t>
      </w:r>
      <w:r>
        <w:rPr>
          <w:rFonts w:ascii="Times New Roman" w:hAnsi="Times New Roman"/>
          <w:b/>
          <w:color w:val="000000"/>
          <w:sz w:val="24"/>
          <w:szCs w:val="24"/>
        </w:rPr>
        <w:t>obiektywna</w:t>
      </w:r>
      <w:r>
        <w:rPr>
          <w:rFonts w:ascii="Times New Roman" w:hAnsi="Times New Roman"/>
          <w:color w:val="000000"/>
          <w:sz w:val="24"/>
          <w:szCs w:val="24"/>
        </w:rPr>
        <w:t>, czyli tego rodzaju, że rozsądnie działający człowiek znający prawdziwy stan rzeczy, nie złożyłby oświadczenia woli tej treści" (uchw</w:t>
      </w:r>
      <w:r>
        <w:rPr>
          <w:rFonts w:ascii="Times New Roman" w:hAnsi="Times New Roman"/>
          <w:color w:val="000000"/>
          <w:sz w:val="24"/>
          <w:szCs w:val="24"/>
        </w:rPr>
        <w:t>ała</w:t>
      </w:r>
      <w:r>
        <w:rPr>
          <w:rFonts w:ascii="Times New Roman" w:hAnsi="Times New Roman"/>
          <w:color w:val="000000"/>
          <w:sz w:val="24"/>
          <w:szCs w:val="24"/>
        </w:rPr>
        <w:t xml:space="preserve"> S</w:t>
      </w:r>
      <w:r>
        <w:rPr>
          <w:rFonts w:ascii="Times New Roman" w:hAnsi="Times New Roman"/>
          <w:color w:val="000000"/>
          <w:sz w:val="24"/>
          <w:szCs w:val="24"/>
        </w:rPr>
        <w:t xml:space="preserve">ądu </w:t>
      </w:r>
      <w:r>
        <w:rPr>
          <w:rFonts w:ascii="Times New Roman" w:hAnsi="Times New Roman"/>
          <w:color w:val="000000"/>
          <w:sz w:val="24"/>
          <w:szCs w:val="24"/>
        </w:rPr>
        <w:t>N</w:t>
      </w:r>
      <w:r>
        <w:rPr>
          <w:rFonts w:ascii="Times New Roman" w:hAnsi="Times New Roman"/>
          <w:color w:val="000000"/>
          <w:sz w:val="24"/>
          <w:szCs w:val="24"/>
        </w:rPr>
        <w:t>ajwyższego</w:t>
      </w:r>
      <w:r>
        <w:rPr>
          <w:rFonts w:ascii="Times New Roman" w:hAnsi="Times New Roman"/>
          <w:color w:val="000000"/>
          <w:sz w:val="24"/>
          <w:szCs w:val="24"/>
        </w:rPr>
        <w:t xml:space="preserve"> z 31.8.1989 r., </w:t>
      </w:r>
      <w:hyperlink r:id="rId2">
        <w:r>
          <w:rPr>
            <w:rStyle w:val="Czeinternetowe"/>
            <w:rFonts w:ascii="Times New Roman" w:hAnsi="Times New Roman"/>
            <w:color w:val="CC0000"/>
            <w:sz w:val="24"/>
            <w:szCs w:val="24"/>
          </w:rPr>
          <w:t>III PZP 37/89</w:t>
        </w:r>
      </w:hyperlink>
      <w:r>
        <w:rPr>
          <w:rFonts w:ascii="Times New Roman" w:hAnsi="Times New Roman"/>
          <w:color w:val="000000"/>
          <w:sz w:val="24"/>
          <w:szCs w:val="24"/>
        </w:rPr>
        <w:t>). Obiektywna ocena istotności błędu polega na rozważeniu, czy w takich samych okolicznościach rozsądna osoba złożyłaby oświadczenie woli, gdyby nie działała pod wpływem błędu.</w:t>
      </w:r>
    </w:p>
    <w:p>
      <w:pPr>
        <w:pStyle w:val="Tretekstu"/>
        <w:shd w:val="clear" w:fill="FFFFFF"/>
        <w:spacing w:lineRule="auto" w:line="276"/>
        <w:jc w:val="both"/>
        <w:rPr>
          <w:rFonts w:ascii="Times New Roman" w:hAnsi="Times New Roman"/>
          <w:sz w:val="24"/>
          <w:szCs w:val="24"/>
        </w:rPr>
      </w:pPr>
      <w:r>
        <w:rPr>
          <w:rFonts w:ascii="Times New Roman" w:hAnsi="Times New Roman"/>
          <w:color w:val="000000"/>
          <w:sz w:val="24"/>
          <w:szCs w:val="24"/>
        </w:rPr>
        <w:tab/>
        <w:t>Wyróżnienie subiektywnego i obiektywnego elementu istotności błędu krytykuje </w:t>
      </w:r>
      <w:r>
        <w:rPr>
          <w:rFonts w:ascii="Times New Roman" w:hAnsi="Times New Roman"/>
          <w:i/>
          <w:color w:val="000000"/>
          <w:sz w:val="24"/>
          <w:szCs w:val="24"/>
        </w:rPr>
        <w:t>B. Lewaszkiewicz-Petrykowska</w:t>
      </w:r>
      <w:r>
        <w:rPr>
          <w:rFonts w:ascii="Times New Roman" w:hAnsi="Times New Roman"/>
          <w:color w:val="000000"/>
          <w:sz w:val="24"/>
          <w:szCs w:val="24"/>
        </w:rPr>
        <w:t>, zwracając uwagę, że jeśli błąd nie jest subiektywnie istotny, osoba która złożyła oświadczenie woli nie skorzysta z uprawnienia do uchylenia się od skutków tego oświadczenia (</w:t>
      </w:r>
      <w:r>
        <w:rPr>
          <w:rFonts w:ascii="Times New Roman" w:hAnsi="Times New Roman"/>
          <w:i/>
          <w:color w:val="000000"/>
          <w:sz w:val="24"/>
          <w:szCs w:val="24"/>
        </w:rPr>
        <w:t>B. Lewaszkiewicz-Petrykowska</w:t>
      </w:r>
      <w:r>
        <w:rPr>
          <w:rFonts w:ascii="Times New Roman" w:hAnsi="Times New Roman"/>
          <w:color w:val="000000"/>
          <w:sz w:val="24"/>
          <w:szCs w:val="24"/>
        </w:rPr>
        <w:t>, Wady oświadczeń, s. 115; podobnie </w:t>
      </w:r>
      <w:r>
        <w:rPr>
          <w:rFonts w:ascii="Times New Roman" w:hAnsi="Times New Roman"/>
          <w:i/>
          <w:color w:val="000000"/>
          <w:sz w:val="24"/>
          <w:szCs w:val="24"/>
        </w:rPr>
        <w:t>K. Pietrzykowski</w:t>
      </w:r>
      <w:r>
        <w:rPr>
          <w:rFonts w:ascii="Times New Roman" w:hAnsi="Times New Roman"/>
          <w:color w:val="000000"/>
          <w:sz w:val="24"/>
          <w:szCs w:val="24"/>
        </w:rPr>
        <w:t>, w: </w:t>
      </w:r>
      <w:r>
        <w:rPr>
          <w:rFonts w:ascii="Times New Roman" w:hAnsi="Times New Roman"/>
          <w:i/>
          <w:color w:val="000000"/>
          <w:sz w:val="24"/>
          <w:szCs w:val="24"/>
        </w:rPr>
        <w:t>Pietrzykowski</w:t>
      </w:r>
      <w:r>
        <w:rPr>
          <w:rFonts w:ascii="Times New Roman" w:hAnsi="Times New Roman"/>
          <w:color w:val="000000"/>
          <w:sz w:val="24"/>
          <w:szCs w:val="24"/>
        </w:rPr>
        <w:t>, Komentarz, 2015, t. I, art. 84, Nb 7, s. 391).</w:t>
      </w:r>
    </w:p>
    <w:p>
      <w:pPr>
        <w:pStyle w:val="Tretekstu"/>
        <w:shd w:val="clear" w:fill="FFFFFF"/>
        <w:spacing w:lineRule="auto" w:line="276"/>
        <w:jc w:val="both"/>
        <w:rPr>
          <w:rFonts w:ascii="Times New Roman" w:hAnsi="Times New Roman"/>
          <w:sz w:val="24"/>
          <w:szCs w:val="24"/>
        </w:rPr>
      </w:pPr>
      <w:r>
        <w:rPr>
          <w:rFonts w:ascii="Times New Roman" w:hAnsi="Times New Roman"/>
          <w:color w:val="000000"/>
          <w:sz w:val="24"/>
          <w:szCs w:val="24"/>
        </w:rPr>
        <w:t>Dla oceny czy błąd miał charakter istotny, podział postanowień umowy na </w:t>
      </w:r>
      <w:r>
        <w:rPr>
          <w:rFonts w:ascii="Times New Roman" w:hAnsi="Times New Roman"/>
          <w:i/>
          <w:color w:val="000000"/>
          <w:sz w:val="24"/>
          <w:szCs w:val="24"/>
        </w:rPr>
        <w:t>essentialia, naturalia</w:t>
      </w:r>
      <w:r>
        <w:rPr>
          <w:rFonts w:ascii="Times New Roman" w:hAnsi="Times New Roman"/>
          <w:color w:val="000000"/>
          <w:sz w:val="24"/>
          <w:szCs w:val="24"/>
        </w:rPr>
        <w:t> i </w:t>
      </w:r>
      <w:r>
        <w:rPr>
          <w:rFonts w:ascii="Times New Roman" w:hAnsi="Times New Roman"/>
          <w:i/>
          <w:color w:val="000000"/>
          <w:sz w:val="24"/>
          <w:szCs w:val="24"/>
        </w:rPr>
        <w:t>accidentalia negotii</w:t>
      </w:r>
      <w:r>
        <w:rPr>
          <w:rFonts w:ascii="Times New Roman" w:hAnsi="Times New Roman"/>
          <w:color w:val="000000"/>
          <w:sz w:val="24"/>
          <w:szCs w:val="24"/>
        </w:rPr>
        <w:t> jest irrelewantny. Błąd dotyczący każdego postanowienia może być uznany za istotny.”</w:t>
      </w:r>
    </w:p>
    <w:p>
      <w:pPr>
        <w:pStyle w:val="Normal"/>
        <w:spacing w:lineRule="auto" w:line="276"/>
        <w:jc w:val="both"/>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W przypadku odpłatnych czynności muszą zajść dodatkowe przesłanki:</w:t>
      </w:r>
    </w:p>
    <w:p>
      <w:pPr>
        <w:pStyle w:val="Normal"/>
        <w:numPr>
          <w:ilvl w:val="0"/>
          <w:numId w:val="2"/>
        </w:numPr>
        <w:spacing w:lineRule="auto" w:line="276"/>
        <w:rPr>
          <w:rFonts w:ascii="Times New Roman" w:hAnsi="Times New Roman"/>
          <w:sz w:val="24"/>
          <w:szCs w:val="24"/>
        </w:rPr>
      </w:pPr>
      <w:r>
        <w:rPr>
          <w:rFonts w:ascii="Times New Roman" w:hAnsi="Times New Roman"/>
          <w:b/>
          <w:bCs/>
          <w:sz w:val="24"/>
          <w:szCs w:val="24"/>
        </w:rPr>
        <w:t>pierwsza</w:t>
      </w:r>
      <w:r>
        <w:rPr>
          <w:rFonts w:ascii="Times New Roman" w:hAnsi="Times New Roman"/>
          <w:sz w:val="24"/>
          <w:szCs w:val="24"/>
        </w:rPr>
        <w:t>: wywołanie błędu przez adresata oświadczenia woli, nawet niezawinionego</w:t>
      </w:r>
    </w:p>
    <w:p>
      <w:pPr>
        <w:pStyle w:val="Normal"/>
        <w:numPr>
          <w:ilvl w:val="0"/>
          <w:numId w:val="2"/>
        </w:numPr>
        <w:spacing w:lineRule="auto" w:line="276"/>
        <w:rPr>
          <w:rFonts w:ascii="Times New Roman" w:hAnsi="Times New Roman"/>
          <w:sz w:val="24"/>
          <w:szCs w:val="24"/>
        </w:rPr>
      </w:pPr>
      <w:r>
        <w:rPr>
          <w:rFonts w:ascii="Times New Roman" w:hAnsi="Times New Roman"/>
          <w:b/>
          <w:bCs/>
          <w:sz w:val="24"/>
          <w:szCs w:val="24"/>
        </w:rPr>
        <w:t>druga</w:t>
      </w:r>
      <w:r>
        <w:rPr>
          <w:rFonts w:ascii="Times New Roman" w:hAnsi="Times New Roman"/>
          <w:sz w:val="24"/>
          <w:szCs w:val="24"/>
        </w:rPr>
        <w:t>: odnosi się do wiedzy adresata oświadczenia i obejmuje dwa stany: świadomości błędu po stronie składającego oświadczenie woli oraz braku takiej świadomości, mimo możliwości łatwego zauważenia błędu</w:t>
      </w:r>
    </w:p>
    <w:p>
      <w:pPr>
        <w:pStyle w:val="Normal"/>
        <w:numPr>
          <w:ilvl w:val="0"/>
          <w:numId w:val="0"/>
        </w:numPr>
        <w:spacing w:lineRule="auto" w:line="276"/>
        <w:ind w:left="720" w:hanging="0"/>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Sankcja: nieważność względna, możliwość uchylenia się od skutków złożonego oświadczenia</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b/>
          <w:bCs/>
          <w:sz w:val="24"/>
          <w:szCs w:val="24"/>
        </w:rPr>
        <w:t>Podstęp</w:t>
      </w:r>
    </w:p>
    <w:p>
      <w:pPr>
        <w:pStyle w:val="Normal"/>
        <w:spacing w:lineRule="auto" w:line="276"/>
        <w:rPr>
          <w:rFonts w:ascii="Times New Roman" w:hAnsi="Times New Roman"/>
          <w:sz w:val="24"/>
          <w:szCs w:val="24"/>
        </w:rPr>
      </w:pPr>
      <w:r>
        <w:rPr>
          <w:rFonts w:ascii="Times New Roman" w:hAnsi="Times New Roman"/>
          <w:b/>
          <w:bCs/>
          <w:sz w:val="24"/>
          <w:szCs w:val="24"/>
        </w:rPr>
        <w:t>Podstęp</w:t>
      </w:r>
      <w:r>
        <w:rPr>
          <w:rFonts w:ascii="Times New Roman" w:hAnsi="Times New Roman"/>
          <w:sz w:val="24"/>
          <w:szCs w:val="24"/>
        </w:rPr>
        <w:t xml:space="preserve"> – polega na świadomym i celowym, a przy tym ocenianym przez otoczenia jako naganne, zachowane się adresata oświadczenia woli, które to oświadczenie staje się motywem złożenia oświadczenia przez drugą stronę.</w:t>
      </w:r>
    </w:p>
    <w:p>
      <w:pPr>
        <w:pStyle w:val="Normal"/>
        <w:spacing w:lineRule="auto" w:line="276"/>
        <w:rPr>
          <w:rFonts w:ascii="Times New Roman" w:hAnsi="Times New Roman"/>
          <w:sz w:val="24"/>
          <w:szCs w:val="24"/>
        </w:rPr>
      </w:pPr>
      <w:r>
        <w:rPr>
          <w:rFonts w:ascii="Times New Roman" w:hAnsi="Times New Roman"/>
          <w:sz w:val="24"/>
          <w:szCs w:val="24"/>
        </w:rPr>
        <w:t xml:space="preserve">Za podstępne może być uznane </w:t>
      </w:r>
      <w:r>
        <w:rPr>
          <w:rFonts w:ascii="Times New Roman" w:hAnsi="Times New Roman"/>
          <w:b/>
          <w:bCs/>
          <w:sz w:val="24"/>
          <w:szCs w:val="24"/>
        </w:rPr>
        <w:t>działanie</w:t>
      </w:r>
      <w:r>
        <w:rPr>
          <w:rFonts w:ascii="Times New Roman" w:hAnsi="Times New Roman"/>
          <w:sz w:val="24"/>
          <w:szCs w:val="24"/>
        </w:rPr>
        <w:t xml:space="preserve">, jak i </w:t>
      </w:r>
      <w:r>
        <w:rPr>
          <w:rFonts w:ascii="Times New Roman" w:hAnsi="Times New Roman"/>
          <w:b/>
          <w:bCs/>
          <w:sz w:val="24"/>
          <w:szCs w:val="24"/>
        </w:rPr>
        <w:t>zaniechanie</w:t>
      </w:r>
      <w:r>
        <w:rPr>
          <w:rFonts w:ascii="Times New Roman" w:hAnsi="Times New Roman"/>
          <w:sz w:val="24"/>
          <w:szCs w:val="24"/>
        </w:rPr>
        <w:t>, ale to ostatnie jedynie wówczas, gdy adresat oświadczenia miał obowiązek powiadomienia drugiej strony o rzeczywistym stanie rzeczy.</w:t>
      </w:r>
    </w:p>
    <w:p>
      <w:pPr>
        <w:pStyle w:val="Normal"/>
        <w:spacing w:lineRule="auto" w:line="276"/>
        <w:rPr>
          <w:rFonts w:ascii="Times New Roman" w:hAnsi="Times New Roman"/>
          <w:sz w:val="24"/>
          <w:szCs w:val="24"/>
        </w:rPr>
      </w:pPr>
      <w:r>
        <w:rPr>
          <w:rFonts w:ascii="Times New Roman" w:hAnsi="Times New Roman"/>
          <w:sz w:val="24"/>
          <w:szCs w:val="24"/>
        </w:rPr>
        <w:t>Przykłady zachowań podstępnych: podanie nieprawdziwych informacji lub utwierdzenie drugiej strony w mylnym przekonaniu o rzeczywistości, w celu skłonienia jej do złożenia oświadczenia woli.</w:t>
      </w:r>
    </w:p>
    <w:p>
      <w:pPr>
        <w:pStyle w:val="Normal"/>
        <w:spacing w:lineRule="auto" w:line="276"/>
        <w:rPr>
          <w:rFonts w:ascii="Times New Roman" w:hAnsi="Times New Roman"/>
          <w:sz w:val="24"/>
          <w:szCs w:val="24"/>
        </w:rPr>
      </w:pPr>
      <w:r>
        <w:rPr>
          <w:rFonts w:ascii="Times New Roman" w:hAnsi="Times New Roman"/>
          <w:sz w:val="24"/>
          <w:szCs w:val="24"/>
        </w:rPr>
        <w:t>Osobą działająca  podstępnie jest z reguły druga strona: czyli adresat oświadczenia woli, stanowiącego element zamierzonej czynności prawnej.</w:t>
      </w:r>
    </w:p>
    <w:p>
      <w:pPr>
        <w:pStyle w:val="Normal"/>
        <w:spacing w:lineRule="auto" w:line="276"/>
        <w:rPr>
          <w:rFonts w:ascii="Times New Roman" w:hAnsi="Times New Roman"/>
          <w:sz w:val="24"/>
          <w:szCs w:val="24"/>
        </w:rPr>
      </w:pPr>
      <w:r>
        <w:rPr>
          <w:rFonts w:ascii="Times New Roman" w:hAnsi="Times New Roman"/>
          <w:sz w:val="24"/>
          <w:szCs w:val="24"/>
        </w:rPr>
        <w:t>Z podstępem drugiej strony ustawodawca zrównał podstępne działanie osoby trzeciej, ale jedynie w dwóch sytuacjach:</w:t>
      </w:r>
    </w:p>
    <w:p>
      <w:pPr>
        <w:pStyle w:val="Normal"/>
        <w:numPr>
          <w:ilvl w:val="0"/>
          <w:numId w:val="3"/>
        </w:numPr>
        <w:spacing w:lineRule="auto" w:line="276"/>
        <w:rPr>
          <w:rFonts w:ascii="Times New Roman" w:hAnsi="Times New Roman"/>
          <w:sz w:val="24"/>
          <w:szCs w:val="24"/>
        </w:rPr>
      </w:pPr>
      <w:r>
        <w:rPr>
          <w:rFonts w:ascii="Times New Roman" w:hAnsi="Times New Roman"/>
          <w:sz w:val="24"/>
          <w:szCs w:val="24"/>
        </w:rPr>
        <w:t>jeżeli druga strona wiedziała o podstępie osoby trzeciej, a mimo to nie zawiadomiła o tym osoby składającej oświadczenie woli albo</w:t>
      </w:r>
    </w:p>
    <w:p>
      <w:pPr>
        <w:pStyle w:val="Normal"/>
        <w:numPr>
          <w:ilvl w:val="0"/>
          <w:numId w:val="3"/>
        </w:numPr>
        <w:spacing w:lineRule="auto" w:line="276"/>
        <w:rPr>
          <w:rFonts w:ascii="Times New Roman" w:hAnsi="Times New Roman"/>
          <w:sz w:val="24"/>
          <w:szCs w:val="24"/>
        </w:rPr>
      </w:pPr>
      <w:r>
        <w:rPr>
          <w:rFonts w:ascii="Times New Roman" w:hAnsi="Times New Roman"/>
          <w:sz w:val="24"/>
          <w:szCs w:val="24"/>
        </w:rPr>
        <w:t>wtedy, gdy czynności prawna była nieodpłatna</w:t>
      </w:r>
    </w:p>
    <w:p>
      <w:pPr>
        <w:pStyle w:val="Normal"/>
        <w:spacing w:lineRule="auto" w:line="276"/>
        <w:rPr>
          <w:rFonts w:ascii="Times New Roman" w:hAnsi="Times New Roman"/>
          <w:sz w:val="24"/>
          <w:szCs w:val="24"/>
        </w:rPr>
      </w:pPr>
      <w:r>
        <w:rPr>
          <w:rFonts w:ascii="Times New Roman" w:hAnsi="Times New Roman"/>
          <w:sz w:val="24"/>
          <w:szCs w:val="24"/>
        </w:rPr>
        <w:t>Sankcja: nieważność względna</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b/>
          <w:bCs/>
          <w:sz w:val="24"/>
          <w:szCs w:val="24"/>
        </w:rPr>
        <w:t>Pozorność</w:t>
      </w:r>
    </w:p>
    <w:p>
      <w:pPr>
        <w:pStyle w:val="Normal"/>
        <w:spacing w:lineRule="auto" w:line="276"/>
        <w:rPr>
          <w:rFonts w:ascii="Times New Roman" w:hAnsi="Times New Roman"/>
          <w:sz w:val="24"/>
          <w:szCs w:val="24"/>
        </w:rPr>
      </w:pPr>
      <w:r>
        <w:rPr>
          <w:rFonts w:ascii="Times New Roman" w:hAnsi="Times New Roman"/>
          <w:sz w:val="24"/>
          <w:szCs w:val="24"/>
        </w:rPr>
        <w:t xml:space="preserve">Występuje w każdym przypadku, gdy co najmniej jedno oświadczenie woli złożone przez jedną z nich nie będzie wywoływało wyrażonych w nim skutków prawnych. </w:t>
      </w:r>
    </w:p>
    <w:p>
      <w:pPr>
        <w:pStyle w:val="Normal"/>
        <w:spacing w:lineRule="auto" w:line="276"/>
        <w:jc w:val="both"/>
        <w:rPr>
          <w:rFonts w:ascii="Times New Roman" w:hAnsi="Times New Roman"/>
          <w:sz w:val="24"/>
          <w:szCs w:val="24"/>
        </w:rPr>
      </w:pPr>
      <w:r>
        <w:rPr>
          <w:rFonts w:ascii="Times New Roman" w:hAnsi="Times New Roman"/>
          <w:b/>
          <w:bCs/>
          <w:sz w:val="24"/>
          <w:szCs w:val="24"/>
        </w:rPr>
        <w:t>Nowe stanowisko Sądu Najwyższego:</w:t>
      </w:r>
      <w:r>
        <w:rPr>
          <w:rFonts w:ascii="Times New Roman" w:hAnsi="Times New Roman"/>
          <w:sz w:val="24"/>
          <w:szCs w:val="24"/>
        </w:rPr>
        <w:t xml:space="preserve"> Kodeks cywilny opisuje dwie różne postaci pozorności: dla ukrycia innej czynności oraz służącą czynności prawnej dla pozoru (wyrok z dnia 10 czerwca 2013 r. (sygn. akt II PK 299/12).</w:t>
      </w:r>
    </w:p>
    <w:p>
      <w:pPr>
        <w:pStyle w:val="Normal"/>
        <w:spacing w:lineRule="auto" w:line="276"/>
        <w:rPr>
          <w:rFonts w:ascii="Times New Roman" w:hAnsi="Times New Roman"/>
          <w:sz w:val="24"/>
          <w:szCs w:val="24"/>
        </w:rPr>
      </w:pPr>
      <w:r>
        <w:rPr>
          <w:rFonts w:ascii="Times New Roman" w:hAnsi="Times New Roman"/>
          <w:sz w:val="24"/>
          <w:szCs w:val="24"/>
        </w:rPr>
        <w:t xml:space="preserve">Przepis art. 83 § 1 k.c. opisuje </w:t>
      </w:r>
      <w:r>
        <w:rPr>
          <w:rFonts w:ascii="Times New Roman" w:hAnsi="Times New Roman"/>
          <w:b/>
          <w:bCs/>
          <w:sz w:val="24"/>
          <w:szCs w:val="24"/>
        </w:rPr>
        <w:t>dwie różne postaci pozorności:</w:t>
      </w:r>
    </w:p>
    <w:p>
      <w:pPr>
        <w:pStyle w:val="Normal"/>
        <w:numPr>
          <w:ilvl w:val="0"/>
          <w:numId w:val="4"/>
        </w:numPr>
        <w:spacing w:lineRule="auto" w:line="276"/>
        <w:rPr>
          <w:rFonts w:ascii="Times New Roman" w:hAnsi="Times New Roman"/>
          <w:sz w:val="24"/>
          <w:szCs w:val="24"/>
        </w:rPr>
      </w:pPr>
      <w:r>
        <w:rPr>
          <w:rFonts w:ascii="Times New Roman" w:hAnsi="Times New Roman"/>
          <w:b/>
          <w:bCs/>
          <w:sz w:val="24"/>
          <w:szCs w:val="24"/>
        </w:rPr>
        <w:t>pierwsza</w:t>
      </w:r>
      <w:r>
        <w:rPr>
          <w:rFonts w:ascii="Times New Roman" w:hAnsi="Times New Roman"/>
          <w:sz w:val="24"/>
          <w:szCs w:val="24"/>
        </w:rPr>
        <w:t xml:space="preserve"> z nich (zdanie pierwsze) dotyczy sytuacji, gdy strony dokonują czynności prawnej dla pozoru i jej dokonanie nie służy ukryciu innej czynności prawnej. Można tu mówić o pozorności zwykłej, bezwzględnej lub o symulacji absolutnej, bezwzględnej. </w:t>
      </w:r>
    </w:p>
    <w:p>
      <w:pPr>
        <w:pStyle w:val="Normal"/>
        <w:numPr>
          <w:ilvl w:val="0"/>
          <w:numId w:val="4"/>
        </w:numPr>
        <w:spacing w:lineRule="auto" w:line="276"/>
        <w:rPr>
          <w:rFonts w:ascii="Times New Roman" w:hAnsi="Times New Roman"/>
          <w:sz w:val="24"/>
          <w:szCs w:val="24"/>
        </w:rPr>
      </w:pPr>
      <w:r>
        <w:rPr>
          <w:rFonts w:ascii="Times New Roman" w:hAnsi="Times New Roman"/>
          <w:b/>
          <w:bCs/>
          <w:sz w:val="24"/>
          <w:szCs w:val="24"/>
        </w:rPr>
        <w:t>druga</w:t>
      </w:r>
      <w:r>
        <w:rPr>
          <w:rFonts w:ascii="Times New Roman" w:hAnsi="Times New Roman"/>
          <w:sz w:val="24"/>
          <w:szCs w:val="24"/>
        </w:rPr>
        <w:t xml:space="preserve"> (zdanie drugie) dotyczy sytuacji, gdy strony dokonują czynności prawnej pozornej w celu ukrycia innej czynności prawnej (</w:t>
      </w:r>
      <w:r>
        <w:rPr>
          <w:rFonts w:ascii="Times New Roman" w:hAnsi="Times New Roman"/>
          <w:b/>
          <w:bCs/>
          <w:sz w:val="24"/>
          <w:szCs w:val="24"/>
        </w:rPr>
        <w:t>dyssymulowanej</w:t>
      </w:r>
      <w:r>
        <w:rPr>
          <w:rFonts w:ascii="Times New Roman" w:hAnsi="Times New Roman"/>
          <w:sz w:val="24"/>
          <w:szCs w:val="24"/>
        </w:rPr>
        <w:t>), której skutki prawne rzeczywiście chcą wywołać.</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jc w:val="both"/>
        <w:rPr>
          <w:rFonts w:ascii="Times New Roman" w:hAnsi="Times New Roman"/>
          <w:sz w:val="24"/>
          <w:szCs w:val="24"/>
        </w:rPr>
      </w:pPr>
      <w:r>
        <w:rPr>
          <w:rFonts w:ascii="Times New Roman" w:hAnsi="Times New Roman"/>
          <w:sz w:val="24"/>
          <w:szCs w:val="24"/>
        </w:rPr>
        <w:tab/>
        <w:t xml:space="preserve">Sąd Najwyższy wskazał, że czynności prawne pozorne </w:t>
      </w:r>
      <w:r>
        <w:rPr>
          <w:rFonts w:ascii="Times New Roman" w:hAnsi="Times New Roman"/>
          <w:sz w:val="24"/>
          <w:szCs w:val="24"/>
        </w:rPr>
        <w:t xml:space="preserve">z art. 83 </w:t>
      </w:r>
      <w:r>
        <w:rPr>
          <w:rFonts w:ascii="Times New Roman" w:hAnsi="Times New Roman"/>
          <w:sz w:val="24"/>
          <w:szCs w:val="24"/>
        </w:rPr>
        <w:t xml:space="preserve"> § 1 zdanie </w:t>
      </w:r>
      <w:r>
        <w:rPr>
          <w:rFonts w:ascii="Times New Roman" w:hAnsi="Times New Roman"/>
          <w:sz w:val="24"/>
          <w:szCs w:val="24"/>
        </w:rPr>
        <w:t xml:space="preserve">pierwsze, </w:t>
      </w:r>
      <w:r>
        <w:rPr>
          <w:rFonts w:ascii="Times New Roman" w:hAnsi="Times New Roman"/>
          <w:sz w:val="24"/>
          <w:szCs w:val="24"/>
        </w:rPr>
        <w:t>polegające na symulacji bezwzględnej (absolutnej), są dokonywane najczęściej z przyczyn fiskalnych lub egzekucyjnych, na przykład wówczas, gdy podatnik, chcąc zmniejszyć wysokość dochodu podlegającego opodatkowaniu podatkiem dochodowym, zawiera fikcyjne (symulowane, pozorne) umowy, które mają na celu obniżenie dochodu, choć w rzeczywistości faktycznie nie prowadzi do rozdysponowania swoim majątkiem (przedmiotami majątkowymi), albo zawiera fikcyjne umowy zlecenia, o pracę lub o dzieło (por. wyrok Sądu Najwyższego z 12 maja 2011 r., II UK 20/11, LEX nr 885004), w których nie płaci wynagrodzenia, a zleceniobiorca, pracownik, wykonawca nie wykonuje swego świadczenia, wyrażając na to zgodę (zob. M. Gersdorf: Obejście prawa a pozorność w kontraktach menedżerskich, PiZS 2003, nr 10, s. 14-17; R. Sadlik: Pozorność umowy o pracę jako przyczyna jej nieważności, Służba Pracownicza 2007, nr 5, s. 13-15). Jako przykład symulacji absolutnej można wskazać sytuację, gdy dłużnik, spodziewając się egzekucji ze swego majątku, zawiera pozorne umowy sprzedaży jego składników, aby uniemożliwić wierzycielom zaspokojenie w drodze egzekucji. Czynności prawne polegające na symulacji bezwzględnej są bezwzględnie nieważne.</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jc w:val="both"/>
        <w:rPr>
          <w:rFonts w:ascii="Times New Roman" w:hAnsi="Times New Roman"/>
          <w:sz w:val="24"/>
          <w:szCs w:val="24"/>
        </w:rPr>
      </w:pPr>
      <w:r>
        <w:rPr>
          <w:rFonts w:ascii="Times New Roman" w:hAnsi="Times New Roman"/>
          <w:sz w:val="24"/>
          <w:szCs w:val="24"/>
        </w:rPr>
        <w:tab/>
        <w:t>Sytuacja przewidziana w art. 83 § 1 zdanie drugie k.c., czyli tzw. symulacja względna, występuje wtedy, gdy strony zawierają pozorną umowę (np. sprzedaży) w celu ukrycia innej czynności prawnej (np. darowizny, po to, aby uniknąć wysokiego podatku od darowizny między osobami obcymi albo aby uniknąć reżimu prawnego czynności nieodpłatnej; por. wyrok Sądu Najwyższego z 7 marca 2007 r., II CSK 478/06, LEX nr 278675).</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jc w:val="both"/>
        <w:rPr/>
      </w:pPr>
      <w:r>
        <w:rPr>
          <w:rFonts w:ascii="Times New Roman" w:hAnsi="Times New Roman"/>
          <w:sz w:val="24"/>
          <w:szCs w:val="24"/>
        </w:rPr>
        <w:tab/>
        <w:t>Pozorność oświadczenia woli (art. 83 § 1 k.c.) może zatem zachodzić zarówno wtedy, gdy pod pozorowaną czynnością nie kryje się inna czynność prawna (</w:t>
      </w:r>
      <w:r>
        <w:rPr>
          <w:rFonts w:ascii="Times New Roman" w:hAnsi="Times New Roman"/>
          <w:b/>
          <w:bCs/>
          <w:sz w:val="24"/>
          <w:szCs w:val="24"/>
        </w:rPr>
        <w:t>pozorność zwykła</w:t>
      </w:r>
      <w:r>
        <w:rPr>
          <w:rFonts w:ascii="Times New Roman" w:hAnsi="Times New Roman"/>
          <w:sz w:val="24"/>
          <w:szCs w:val="24"/>
        </w:rPr>
        <w:t>), jak i wtedy, gdy pod oświadczeniem pozornym ukrywa się inna czynność prawna (</w:t>
      </w:r>
      <w:r>
        <w:rPr>
          <w:rFonts w:ascii="Times New Roman" w:hAnsi="Times New Roman"/>
          <w:b/>
          <w:bCs/>
          <w:sz w:val="24"/>
          <w:szCs w:val="24"/>
        </w:rPr>
        <w:t>pozorność kwalifikowana</w:t>
      </w:r>
      <w:r>
        <w:rPr>
          <w:rFonts w:ascii="Times New Roman" w:hAnsi="Times New Roman"/>
          <w:sz w:val="24"/>
          <w:szCs w:val="24"/>
        </w:rPr>
        <w:t xml:space="preserve">). Ważność czynności </w:t>
      </w:r>
      <w:r>
        <w:rPr>
          <w:rFonts w:ascii="Times New Roman" w:hAnsi="Times New Roman"/>
          <w:b/>
          <w:bCs/>
          <w:sz w:val="24"/>
          <w:szCs w:val="24"/>
        </w:rPr>
        <w:t>dys</w:t>
      </w:r>
      <w:r>
        <w:rPr>
          <w:rFonts w:ascii="Times New Roman" w:hAnsi="Times New Roman"/>
          <w:b/>
          <w:bCs/>
          <w:sz w:val="24"/>
          <w:szCs w:val="24"/>
        </w:rPr>
        <w:t>s</w:t>
      </w:r>
      <w:r>
        <w:rPr>
          <w:rFonts w:ascii="Times New Roman" w:hAnsi="Times New Roman"/>
          <w:b/>
          <w:bCs/>
          <w:sz w:val="24"/>
          <w:szCs w:val="24"/>
        </w:rPr>
        <w:t>ymulowanej</w:t>
      </w:r>
      <w:r>
        <w:rPr>
          <w:rFonts w:ascii="Times New Roman" w:hAnsi="Times New Roman"/>
          <w:sz w:val="24"/>
          <w:szCs w:val="24"/>
        </w:rPr>
        <w:t xml:space="preserve"> (ukrytej pod pozorną czynnością prawną) ocenia się według właściwości tej czynności. Czynność dys</w:t>
      </w:r>
      <w:r>
        <w:rPr>
          <w:rFonts w:ascii="Times New Roman" w:hAnsi="Times New Roman"/>
          <w:sz w:val="24"/>
          <w:szCs w:val="24"/>
        </w:rPr>
        <w:t>s</w:t>
      </w:r>
      <w:r>
        <w:rPr>
          <w:rFonts w:ascii="Times New Roman" w:hAnsi="Times New Roman"/>
          <w:sz w:val="24"/>
          <w:szCs w:val="24"/>
        </w:rPr>
        <w:t xml:space="preserve">ymulowana może być uznana za ważną i wywołującą skutki prawne, jeżeli spełnione są warunki jej ważności i jednocześnie nie ma podstaw do przyjęcia, że strony zmierzały do obejścia prawa (działały </w:t>
      </w:r>
      <w:r>
        <w:rPr>
          <w:rFonts w:ascii="Times New Roman" w:hAnsi="Times New Roman"/>
          <w:i/>
          <w:iCs/>
          <w:sz w:val="24"/>
          <w:szCs w:val="24"/>
        </w:rPr>
        <w:t>in fraudem legis</w:t>
      </w:r>
      <w:r>
        <w:rPr>
          <w:rFonts w:ascii="Times New Roman" w:hAnsi="Times New Roman"/>
          <w:sz w:val="24"/>
          <w:szCs w:val="24"/>
        </w:rPr>
        <w:t xml:space="preserve"> - art. 58 § 1 k.c.).</w:t>
      </w:r>
    </w:p>
    <w:p>
      <w:pPr>
        <w:pStyle w:val="Normal"/>
        <w:spacing w:lineRule="auto" w:line="276"/>
        <w:jc w:val="both"/>
        <w:rPr/>
      </w:pPr>
      <w:r>
        <w:rPr>
          <w:rFonts w:ascii="Times New Roman" w:hAnsi="Times New Roman"/>
          <w:sz w:val="24"/>
          <w:szCs w:val="24"/>
        </w:rPr>
        <w:tab/>
        <w:t xml:space="preserve">Czynność ukryta </w:t>
      </w:r>
      <w:r>
        <w:rPr>
          <w:rFonts w:ascii="Times New Roman" w:hAnsi="Times New Roman"/>
          <w:sz w:val="24"/>
          <w:szCs w:val="24"/>
        </w:rPr>
        <w:t>(</w:t>
      </w:r>
      <w:r>
        <w:rPr>
          <w:rFonts w:ascii="Times New Roman" w:hAnsi="Times New Roman"/>
          <w:b/>
          <w:bCs/>
          <w:sz w:val="24"/>
          <w:szCs w:val="24"/>
        </w:rPr>
        <w:t>dyssumulowana</w:t>
      </w:r>
      <w:r>
        <w:rPr>
          <w:rFonts w:ascii="Times New Roman" w:hAnsi="Times New Roman"/>
          <w:sz w:val="24"/>
          <w:szCs w:val="24"/>
        </w:rPr>
        <w:t>)</w:t>
      </w:r>
      <w:r>
        <w:rPr>
          <w:rFonts w:ascii="Times New Roman" w:hAnsi="Times New Roman"/>
          <w:sz w:val="24"/>
          <w:szCs w:val="24"/>
        </w:rPr>
        <w:t xml:space="preserve"> – </w:t>
      </w:r>
      <w:r>
        <w:rPr>
          <w:rFonts w:ascii="Times New Roman" w:hAnsi="Times New Roman"/>
          <w:sz w:val="24"/>
          <w:szCs w:val="24"/>
        </w:rPr>
        <w:t xml:space="preserve">to może być czynność </w:t>
      </w:r>
      <w:r>
        <w:rPr>
          <w:rFonts w:ascii="Times New Roman" w:hAnsi="Times New Roman"/>
          <w:sz w:val="24"/>
          <w:szCs w:val="24"/>
        </w:rPr>
        <w:t xml:space="preserve">od niewielkich modyfikacji jednego </w:t>
      </w:r>
      <w:r>
        <w:rPr>
          <w:rFonts w:ascii="Times New Roman" w:hAnsi="Times New Roman"/>
          <w:sz w:val="24"/>
          <w:szCs w:val="24"/>
        </w:rPr>
        <w:t>z</w:t>
      </w:r>
      <w:r>
        <w:rPr>
          <w:rFonts w:ascii="Times New Roman" w:hAnsi="Times New Roman"/>
          <w:sz w:val="24"/>
          <w:szCs w:val="24"/>
        </w:rPr>
        <w:t xml:space="preserve">e świadczeń do innego typu czynności. </w:t>
      </w:r>
      <w:r>
        <w:rPr>
          <w:rFonts w:ascii="Times New Roman" w:hAnsi="Times New Roman"/>
          <w:sz w:val="24"/>
          <w:szCs w:val="24"/>
        </w:rPr>
        <w:t>Dla jej ważności wymagana jest k</w:t>
      </w:r>
      <w:r>
        <w:rPr>
          <w:rFonts w:ascii="Times New Roman" w:hAnsi="Times New Roman"/>
          <w:sz w:val="24"/>
          <w:szCs w:val="24"/>
        </w:rPr>
        <w:t>onieczność zachowania jej właściwości, w tym także formy czynności!</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pPr>
      <w:r>
        <w:rPr>
          <w:rFonts w:ascii="Times New Roman" w:hAnsi="Times New Roman"/>
          <w:sz w:val="24"/>
          <w:szCs w:val="24"/>
        </w:rPr>
        <w:t xml:space="preserve">Fakt ukrycia pod pozornym oświadczeniem woli innej czynności nie ma znaczenia dla </w:t>
      </w:r>
      <w:r>
        <w:rPr>
          <w:rFonts w:ascii="Times New Roman" w:hAnsi="Times New Roman"/>
          <w:sz w:val="24"/>
          <w:szCs w:val="24"/>
        </w:rPr>
        <w:t>ochrony</w:t>
      </w:r>
      <w:r>
        <w:rPr>
          <w:rFonts w:ascii="Times New Roman" w:hAnsi="Times New Roman"/>
          <w:sz w:val="24"/>
          <w:szCs w:val="24"/>
        </w:rPr>
        <w:t xml:space="preserve"> </w:t>
      </w:r>
      <w:r>
        <w:rPr>
          <w:rFonts w:ascii="Times New Roman" w:hAnsi="Times New Roman"/>
          <w:sz w:val="24"/>
          <w:szCs w:val="24"/>
        </w:rPr>
        <w:t>osób</w:t>
      </w:r>
      <w:r>
        <w:rPr>
          <w:rFonts w:ascii="Times New Roman" w:hAnsi="Times New Roman"/>
          <w:sz w:val="24"/>
          <w:szCs w:val="24"/>
        </w:rPr>
        <w:t xml:space="preserve"> trzecich.</w:t>
      </w:r>
      <w:r>
        <w:rPr>
          <w:rFonts w:ascii="Times New Roman" w:hAnsi="Times New Roman"/>
          <w:sz w:val="24"/>
          <w:szCs w:val="24"/>
        </w:rPr>
        <w:t>Po</w:t>
      </w:r>
      <w:r>
        <w:rPr>
          <w:rFonts w:ascii="Times New Roman" w:hAnsi="Times New Roman"/>
          <w:sz w:val="24"/>
          <w:szCs w:val="24"/>
        </w:rPr>
        <w:t>zorna</w:t>
      </w:r>
      <w:r>
        <w:rPr>
          <w:rFonts w:ascii="Times New Roman" w:hAnsi="Times New Roman"/>
          <w:sz w:val="24"/>
          <w:szCs w:val="24"/>
        </w:rPr>
        <w:t xml:space="preserve"> </w:t>
      </w:r>
      <w:r>
        <w:rPr>
          <w:rFonts w:ascii="Times New Roman" w:hAnsi="Times New Roman"/>
          <w:sz w:val="24"/>
          <w:szCs w:val="24"/>
        </w:rPr>
        <w:t xml:space="preserve">czynność </w:t>
      </w:r>
      <w:r>
        <w:rPr>
          <w:rFonts w:ascii="Times New Roman" w:hAnsi="Times New Roman"/>
          <w:sz w:val="24"/>
          <w:szCs w:val="24"/>
        </w:rPr>
        <w:t xml:space="preserve"> prawna m</w:t>
      </w:r>
      <w:r>
        <w:rPr>
          <w:rFonts w:ascii="Times New Roman" w:hAnsi="Times New Roman"/>
          <w:sz w:val="24"/>
          <w:szCs w:val="24"/>
        </w:rPr>
        <w:t>o</w:t>
      </w:r>
      <w:r>
        <w:rPr>
          <w:rFonts w:ascii="Times New Roman" w:hAnsi="Times New Roman"/>
          <w:sz w:val="24"/>
          <w:szCs w:val="24"/>
        </w:rPr>
        <w:t xml:space="preserve">że </w:t>
      </w:r>
      <w:r>
        <w:rPr>
          <w:rFonts w:ascii="Times New Roman" w:hAnsi="Times New Roman"/>
          <w:sz w:val="24"/>
          <w:szCs w:val="24"/>
        </w:rPr>
        <w:t>stanowić</w:t>
      </w:r>
      <w:r>
        <w:rPr>
          <w:rFonts w:ascii="Times New Roman" w:hAnsi="Times New Roman"/>
          <w:sz w:val="24"/>
          <w:szCs w:val="24"/>
        </w:rPr>
        <w:t xml:space="preserve"> </w:t>
      </w:r>
      <w:r>
        <w:rPr>
          <w:rFonts w:ascii="Times New Roman" w:hAnsi="Times New Roman"/>
          <w:sz w:val="24"/>
          <w:szCs w:val="24"/>
        </w:rPr>
        <w:t>podstawę</w:t>
      </w:r>
      <w:r>
        <w:rPr>
          <w:rFonts w:ascii="Times New Roman" w:hAnsi="Times New Roman"/>
          <w:sz w:val="24"/>
          <w:szCs w:val="24"/>
        </w:rPr>
        <w:t xml:space="preserve"> do </w:t>
      </w:r>
      <w:r>
        <w:rPr>
          <w:rFonts w:ascii="Times New Roman" w:hAnsi="Times New Roman"/>
          <w:sz w:val="24"/>
          <w:szCs w:val="24"/>
        </w:rPr>
        <w:t>dokonania</w:t>
      </w:r>
      <w:r>
        <w:rPr>
          <w:rFonts w:ascii="Times New Roman" w:hAnsi="Times New Roman"/>
          <w:sz w:val="24"/>
          <w:szCs w:val="24"/>
        </w:rPr>
        <w:t xml:space="preserve"> kolejnej czynności. </w:t>
      </w:r>
      <w:r>
        <w:rPr>
          <w:rFonts w:ascii="Times New Roman" w:hAnsi="Times New Roman"/>
          <w:sz w:val="24"/>
          <w:szCs w:val="24"/>
        </w:rPr>
        <w:t xml:space="preserve">W interesie osób trzecich ustawodawca odstąpił od zasady </w:t>
      </w:r>
      <w:r>
        <w:rPr>
          <w:rFonts w:ascii="Times New Roman" w:hAnsi="Times New Roman"/>
          <w:i/>
          <w:iCs/>
          <w:sz w:val="24"/>
          <w:szCs w:val="24"/>
        </w:rPr>
        <w:t xml:space="preserve">nemo plus iuris </w:t>
      </w:r>
      <w:r>
        <w:rPr>
          <w:rFonts w:ascii="Times New Roman" w:hAnsi="Times New Roman"/>
          <w:i/>
          <w:iCs/>
          <w:sz w:val="24"/>
          <w:szCs w:val="24"/>
        </w:rPr>
        <w:t xml:space="preserve">in </w:t>
      </w:r>
      <w:r>
        <w:rPr>
          <w:rFonts w:ascii="Times New Roman" w:hAnsi="Times New Roman"/>
          <w:i/>
          <w:iCs/>
          <w:sz w:val="24"/>
          <w:szCs w:val="24"/>
        </w:rPr>
        <w:t>alium transfe</w:t>
      </w:r>
      <w:r>
        <w:rPr>
          <w:rFonts w:ascii="Times New Roman" w:hAnsi="Times New Roman"/>
          <w:i/>
          <w:iCs/>
          <w:sz w:val="24"/>
          <w:szCs w:val="24"/>
        </w:rPr>
        <w:t>r</w:t>
      </w:r>
      <w:r>
        <w:rPr>
          <w:rFonts w:ascii="Times New Roman" w:hAnsi="Times New Roman"/>
          <w:i/>
          <w:iCs/>
          <w:sz w:val="24"/>
          <w:szCs w:val="24"/>
        </w:rPr>
        <w:t>re potest quam ipse habet.</w:t>
      </w:r>
    </w:p>
    <w:p>
      <w:pPr>
        <w:pStyle w:val="Normal"/>
        <w:spacing w:lineRule="auto" w:line="276"/>
        <w:rPr/>
      </w:pPr>
      <w:r>
        <w:rPr>
          <w:rFonts w:ascii="Times New Roman" w:hAnsi="Times New Roman"/>
          <w:sz w:val="24"/>
          <w:szCs w:val="24"/>
        </w:rPr>
        <w:t xml:space="preserve"> </w:t>
      </w:r>
    </w:p>
    <w:p>
      <w:pPr>
        <w:pStyle w:val="Normal"/>
        <w:spacing w:lineRule="auto" w:line="276"/>
        <w:jc w:val="both"/>
        <w:rPr/>
      </w:pPr>
      <w:r>
        <w:rPr>
          <w:rFonts w:ascii="Times New Roman" w:hAnsi="Times New Roman"/>
          <w:sz w:val="24"/>
          <w:szCs w:val="24"/>
        </w:rPr>
        <w:t>Pozorność</w:t>
      </w:r>
      <w:r>
        <w:rPr>
          <w:rFonts w:ascii="Times New Roman" w:hAnsi="Times New Roman"/>
          <w:sz w:val="24"/>
          <w:szCs w:val="24"/>
        </w:rPr>
        <w:t xml:space="preserve"> oświadczenia woli nie ma wpływu na </w:t>
      </w:r>
      <w:r>
        <w:rPr>
          <w:rFonts w:ascii="Times New Roman" w:hAnsi="Times New Roman"/>
          <w:sz w:val="24"/>
          <w:szCs w:val="24"/>
        </w:rPr>
        <w:t>skuteczność</w:t>
      </w:r>
      <w:r>
        <w:rPr>
          <w:rFonts w:ascii="Times New Roman" w:hAnsi="Times New Roman"/>
          <w:sz w:val="24"/>
          <w:szCs w:val="24"/>
        </w:rPr>
        <w:t xml:space="preserve"> odpłatnej czynności prawnej, dokonanej na podstawie pozornego </w:t>
      </w:r>
      <w:r>
        <w:rPr>
          <w:rFonts w:ascii="Times New Roman" w:hAnsi="Times New Roman"/>
          <w:sz w:val="24"/>
          <w:szCs w:val="24"/>
        </w:rPr>
        <w:t>oświadczenia</w:t>
      </w:r>
      <w:r>
        <w:rPr>
          <w:rFonts w:ascii="Times New Roman" w:hAnsi="Times New Roman"/>
          <w:sz w:val="24"/>
          <w:szCs w:val="24"/>
        </w:rPr>
        <w:t xml:space="preserve">, jeżeli wskutek tej czynności osoba trzecia nabywa prawo lub zostaje </w:t>
      </w:r>
      <w:r>
        <w:rPr>
          <w:rFonts w:ascii="Times New Roman" w:hAnsi="Times New Roman"/>
          <w:sz w:val="24"/>
          <w:szCs w:val="24"/>
        </w:rPr>
        <w:t>zwolniona</w:t>
      </w:r>
      <w:r>
        <w:rPr>
          <w:rFonts w:ascii="Times New Roman" w:hAnsi="Times New Roman"/>
          <w:sz w:val="24"/>
          <w:szCs w:val="24"/>
        </w:rPr>
        <w:t xml:space="preserve"> od </w:t>
      </w:r>
      <w:r>
        <w:rPr>
          <w:rFonts w:ascii="Times New Roman" w:hAnsi="Times New Roman"/>
          <w:sz w:val="24"/>
          <w:szCs w:val="24"/>
        </w:rPr>
        <w:t>obowiązku</w:t>
      </w:r>
      <w:bookmarkStart w:id="0" w:name="_GoBack"/>
      <w:bookmarkEnd w:id="0"/>
      <w:r>
        <w:rPr>
          <w:rFonts w:ascii="Times New Roman" w:hAnsi="Times New Roman"/>
          <w:sz w:val="24"/>
          <w:szCs w:val="24"/>
        </w:rPr>
        <w:t>, chyba ze działa w zlej wierze</w:t>
      </w:r>
    </w:p>
    <w:p>
      <w:pPr>
        <w:pStyle w:val="Normal"/>
        <w:spacing w:lineRule="auto" w:line="276"/>
        <w:rPr>
          <w:rFonts w:ascii="Times New Roman" w:hAnsi="Times New Roman"/>
          <w:sz w:val="24"/>
          <w:szCs w:val="24"/>
        </w:rPr>
      </w:pPr>
      <w:r>
        <w:rPr/>
      </w:r>
    </w:p>
    <w:p>
      <w:pPr>
        <w:pStyle w:val="Normal"/>
        <w:spacing w:lineRule="auto" w:line="276"/>
        <w:rPr/>
      </w:pPr>
      <w:r>
        <w:rPr>
          <w:rFonts w:ascii="Times New Roman" w:hAnsi="Times New Roman"/>
          <w:sz w:val="24"/>
          <w:szCs w:val="24"/>
        </w:rPr>
        <w:t>Sankcja: bezwzględna nieważność czynności dokonanej dla pozoru.</w:t>
      </w:r>
    </w:p>
    <w:p>
      <w:pPr>
        <w:pStyle w:val="Normal"/>
        <w:spacing w:lineRule="auto" w:line="276"/>
        <w:rPr>
          <w:rFonts w:ascii="Times New Roman" w:hAnsi="Times New Roman"/>
          <w:sz w:val="24"/>
          <w:szCs w:val="24"/>
        </w:rPr>
      </w:pPr>
      <w:r>
        <w:rPr/>
      </w:r>
    </w:p>
    <w:p>
      <w:pPr>
        <w:pStyle w:val="Normal"/>
        <w:spacing w:lineRule="auto" w:line="276"/>
        <w:rPr/>
      </w:pPr>
      <w:r>
        <w:rPr>
          <w:rFonts w:ascii="Times New Roman" w:hAnsi="Times New Roman"/>
          <w:b/>
          <w:bCs/>
          <w:sz w:val="24"/>
          <w:szCs w:val="24"/>
        </w:rPr>
        <w:t>Uchyle</w:t>
      </w:r>
      <w:r>
        <w:rPr>
          <w:rFonts w:ascii="Times New Roman" w:hAnsi="Times New Roman"/>
          <w:b/>
          <w:bCs/>
          <w:sz w:val="24"/>
          <w:szCs w:val="24"/>
        </w:rPr>
        <w:t xml:space="preserve">nie się od </w:t>
      </w:r>
      <w:r>
        <w:rPr>
          <w:rFonts w:ascii="Times New Roman" w:hAnsi="Times New Roman"/>
          <w:b/>
          <w:bCs/>
          <w:sz w:val="24"/>
          <w:szCs w:val="24"/>
        </w:rPr>
        <w:t>skutków oświadczenia woli</w:t>
      </w:r>
    </w:p>
    <w:p>
      <w:pPr>
        <w:pStyle w:val="Normal"/>
        <w:spacing w:lineRule="auto" w:line="276"/>
        <w:rPr/>
      </w:pPr>
      <w:r>
        <w:rPr>
          <w:rFonts w:ascii="Times New Roman" w:hAnsi="Times New Roman"/>
          <w:sz w:val="24"/>
          <w:szCs w:val="24"/>
        </w:rPr>
        <w:t xml:space="preserve">Dotyczy </w:t>
      </w:r>
      <w:r>
        <w:rPr>
          <w:rFonts w:ascii="Times New Roman" w:hAnsi="Times New Roman"/>
          <w:sz w:val="24"/>
          <w:szCs w:val="24"/>
        </w:rPr>
        <w:t xml:space="preserve">tylko </w:t>
      </w:r>
      <w:r>
        <w:rPr>
          <w:rFonts w:ascii="Times New Roman" w:hAnsi="Times New Roman"/>
          <w:sz w:val="24"/>
          <w:szCs w:val="24"/>
        </w:rPr>
        <w:t>błędu lub gro</w:t>
      </w:r>
      <w:r>
        <w:rPr>
          <w:rFonts w:ascii="Times New Roman" w:hAnsi="Times New Roman"/>
          <w:sz w:val="24"/>
          <w:szCs w:val="24"/>
        </w:rPr>
        <w:t>ź</w:t>
      </w:r>
      <w:r>
        <w:rPr>
          <w:rFonts w:ascii="Times New Roman" w:hAnsi="Times New Roman"/>
          <w:sz w:val="24"/>
          <w:szCs w:val="24"/>
        </w:rPr>
        <w:t xml:space="preserve">by. Wady te powodują </w:t>
      </w:r>
      <w:r>
        <w:rPr>
          <w:rFonts w:ascii="Times New Roman" w:hAnsi="Times New Roman"/>
          <w:sz w:val="24"/>
          <w:szCs w:val="24"/>
        </w:rPr>
        <w:t>uruchomienie</w:t>
      </w:r>
      <w:r>
        <w:rPr>
          <w:rFonts w:ascii="Times New Roman" w:hAnsi="Times New Roman"/>
          <w:sz w:val="24"/>
          <w:szCs w:val="24"/>
        </w:rPr>
        <w:t xml:space="preserve"> sankcji </w:t>
      </w:r>
      <w:r>
        <w:rPr>
          <w:rFonts w:ascii="Times New Roman" w:hAnsi="Times New Roman"/>
          <w:sz w:val="24"/>
          <w:szCs w:val="24"/>
        </w:rPr>
        <w:t>wzruszalności.</w:t>
      </w:r>
    </w:p>
    <w:p>
      <w:pPr>
        <w:pStyle w:val="Normal"/>
        <w:spacing w:lineRule="auto" w:line="276"/>
        <w:rPr/>
      </w:pPr>
      <w:r>
        <w:rPr>
          <w:rFonts w:ascii="Times New Roman" w:hAnsi="Times New Roman"/>
          <w:sz w:val="24"/>
          <w:szCs w:val="24"/>
        </w:rPr>
        <w:t xml:space="preserve">Czynność </w:t>
      </w:r>
      <w:r>
        <w:rPr>
          <w:rFonts w:ascii="Times New Roman" w:hAnsi="Times New Roman"/>
          <w:sz w:val="24"/>
          <w:szCs w:val="24"/>
        </w:rPr>
        <w:t xml:space="preserve">dokonana pod wpływem błędu lub groźby </w:t>
      </w:r>
      <w:r>
        <w:rPr>
          <w:rFonts w:ascii="Times New Roman" w:hAnsi="Times New Roman"/>
          <w:sz w:val="24"/>
          <w:szCs w:val="24"/>
        </w:rPr>
        <w:t xml:space="preserve">jest </w:t>
      </w:r>
      <w:r>
        <w:rPr>
          <w:rFonts w:ascii="Times New Roman" w:hAnsi="Times New Roman"/>
          <w:sz w:val="24"/>
          <w:szCs w:val="24"/>
        </w:rPr>
        <w:t>ważna</w:t>
      </w:r>
      <w:r>
        <w:rPr>
          <w:rFonts w:ascii="Times New Roman" w:hAnsi="Times New Roman"/>
          <w:sz w:val="24"/>
          <w:szCs w:val="24"/>
        </w:rPr>
        <w:t>, ale p</w:t>
      </w:r>
      <w:r>
        <w:rPr>
          <w:rFonts w:ascii="Times New Roman" w:hAnsi="Times New Roman"/>
          <w:sz w:val="24"/>
          <w:szCs w:val="24"/>
        </w:rPr>
        <w:t>o</w:t>
      </w:r>
      <w:r>
        <w:rPr>
          <w:rFonts w:ascii="Times New Roman" w:hAnsi="Times New Roman"/>
          <w:sz w:val="24"/>
          <w:szCs w:val="24"/>
        </w:rPr>
        <w:t>dwa</w:t>
      </w:r>
      <w:r>
        <w:rPr>
          <w:rFonts w:ascii="Times New Roman" w:hAnsi="Times New Roman"/>
          <w:sz w:val="24"/>
          <w:szCs w:val="24"/>
        </w:rPr>
        <w:t>ż</w:t>
      </w:r>
      <w:r>
        <w:rPr>
          <w:rFonts w:ascii="Times New Roman" w:hAnsi="Times New Roman"/>
          <w:sz w:val="24"/>
          <w:szCs w:val="24"/>
        </w:rPr>
        <w:t xml:space="preserve">alna w tym sensie, że </w:t>
      </w:r>
      <w:r>
        <w:rPr>
          <w:rFonts w:ascii="Times New Roman" w:hAnsi="Times New Roman"/>
          <w:sz w:val="24"/>
          <w:szCs w:val="24"/>
        </w:rPr>
        <w:t>zainteresowany</w:t>
      </w:r>
      <w:r>
        <w:rPr>
          <w:rFonts w:ascii="Times New Roman" w:hAnsi="Times New Roman"/>
          <w:sz w:val="24"/>
          <w:szCs w:val="24"/>
        </w:rPr>
        <w:t xml:space="preserve"> może się uchylić od </w:t>
      </w:r>
      <w:r>
        <w:rPr>
          <w:rFonts w:ascii="Times New Roman" w:hAnsi="Times New Roman"/>
          <w:sz w:val="24"/>
          <w:szCs w:val="24"/>
        </w:rPr>
        <w:t>skutków</w:t>
      </w:r>
      <w:r>
        <w:rPr>
          <w:rFonts w:ascii="Times New Roman" w:hAnsi="Times New Roman"/>
          <w:sz w:val="24"/>
          <w:szCs w:val="24"/>
        </w:rPr>
        <w:t xml:space="preserve"> oświadczenia woli.</w:t>
      </w:r>
    </w:p>
    <w:p>
      <w:pPr>
        <w:pStyle w:val="Normal"/>
        <w:spacing w:lineRule="auto" w:line="276"/>
        <w:rPr/>
      </w:pPr>
      <w:r>
        <w:rPr>
          <w:rFonts w:ascii="Times New Roman" w:hAnsi="Times New Roman"/>
          <w:sz w:val="24"/>
          <w:szCs w:val="24"/>
        </w:rPr>
        <w:t xml:space="preserve">Uchylenie się od skutków oświadczenia woli jest prawem podmiotowym kształtującym. </w:t>
      </w:r>
    </w:p>
    <w:p>
      <w:pPr>
        <w:pStyle w:val="Normal"/>
        <w:spacing w:lineRule="auto" w:line="276"/>
        <w:rPr/>
      </w:pPr>
      <w:r>
        <w:rPr>
          <w:rFonts w:ascii="Times New Roman" w:hAnsi="Times New Roman"/>
          <w:sz w:val="24"/>
          <w:szCs w:val="24"/>
        </w:rPr>
        <w:t xml:space="preserve">Jeżeli ma być złożone innej sobie – wymagana jest forma </w:t>
      </w:r>
      <w:r>
        <w:rPr>
          <w:rFonts w:ascii="Times New Roman" w:hAnsi="Times New Roman"/>
          <w:sz w:val="24"/>
          <w:szCs w:val="24"/>
        </w:rPr>
        <w:t>pisemna</w:t>
      </w:r>
      <w:r>
        <w:rPr>
          <w:rFonts w:ascii="Times New Roman" w:hAnsi="Times New Roman"/>
          <w:sz w:val="24"/>
          <w:szCs w:val="24"/>
        </w:rPr>
        <w:t xml:space="preserve"> </w:t>
      </w:r>
      <w:r>
        <w:rPr>
          <w:rFonts w:ascii="Times New Roman" w:hAnsi="Times New Roman"/>
          <w:i/>
          <w:iCs/>
          <w:sz w:val="24"/>
          <w:szCs w:val="24"/>
        </w:rPr>
        <w:t>ad probatione</w:t>
      </w:r>
      <w:r>
        <w:rPr>
          <w:rFonts w:ascii="Times New Roman" w:hAnsi="Times New Roman"/>
          <w:i/>
          <w:iCs/>
          <w:sz w:val="24"/>
          <w:szCs w:val="24"/>
        </w:rPr>
        <w:t>m.</w:t>
      </w:r>
    </w:p>
    <w:p>
      <w:pPr>
        <w:pStyle w:val="Normal"/>
        <w:spacing w:lineRule="auto" w:line="276"/>
        <w:rPr/>
      </w:pPr>
      <w:r>
        <w:rPr>
          <w:rFonts w:ascii="Times New Roman" w:hAnsi="Times New Roman"/>
          <w:i w:val="false"/>
          <w:iCs w:val="false"/>
          <w:sz w:val="24"/>
          <w:szCs w:val="24"/>
        </w:rPr>
        <w:t>To prawo podmiotowe obarczone jest terminem zawitym – 1 rok.</w:t>
      </w:r>
    </w:p>
    <w:p>
      <w:pPr>
        <w:pStyle w:val="Normal"/>
        <w:spacing w:lineRule="auto" w:line="276" w:before="0" w:after="160"/>
        <w:rPr/>
      </w:pPr>
      <w:r>
        <w:rPr>
          <w:rFonts w:ascii="Times New Roman" w:hAnsi="Times New Roman"/>
          <w:sz w:val="24"/>
          <w:szCs w:val="24"/>
        </w:rPr>
        <w:t xml:space="preserve">Konsekwencje uchybienia terminu – </w:t>
      </w:r>
      <w:r>
        <w:rPr>
          <w:rFonts w:ascii="Times New Roman" w:hAnsi="Times New Roman"/>
          <w:sz w:val="24"/>
          <w:szCs w:val="24"/>
        </w:rPr>
        <w:t>bezskuteczny</w:t>
      </w:r>
      <w:r>
        <w:rPr>
          <w:rFonts w:ascii="Times New Roman" w:hAnsi="Times New Roman"/>
          <w:sz w:val="24"/>
          <w:szCs w:val="24"/>
        </w:rPr>
        <w:t xml:space="preserve"> upływ </w:t>
      </w:r>
      <w:r>
        <w:rPr>
          <w:rFonts w:ascii="Times New Roman" w:hAnsi="Times New Roman"/>
          <w:sz w:val="24"/>
          <w:szCs w:val="24"/>
        </w:rPr>
        <w:t>konwaliduje</w:t>
      </w:r>
      <w:r>
        <w:rPr>
          <w:rFonts w:ascii="Times New Roman" w:hAnsi="Times New Roman"/>
          <w:sz w:val="24"/>
          <w:szCs w:val="24"/>
        </w:rPr>
        <w:t xml:space="preserve"> wadliwą czynność prawną, z czynności ważnej, choć wzruszalnej, stanie się czynnością definitywnie niewzruszalną.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Znakiwypunktowania">
    <w:name w:val="Znaki wypunktowania"/>
    <w:qFormat/>
    <w:rPr>
      <w:rFonts w:ascii="OpenSymbol" w:hAnsi="OpenSymbol" w:eastAsia="OpenSymbol" w:cs="OpenSymbol"/>
    </w:rPr>
  </w:style>
  <w:style w:type="character" w:styleId="Czeinternetowe">
    <w:name w:val="Łącze internetowe"/>
    <w:rPr>
      <w:color w:val="000080"/>
      <w:u w:val="single"/>
      <w:lang w:val="zxx" w:eastAsia="zxx" w:bidi="zxx"/>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Arial Unicode MS"/>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Unicode MS"/>
    </w:rPr>
  </w:style>
  <w:style w:type="paragraph" w:styleId="Podpis">
    <w:name w:val="Podpis"/>
    <w:basedOn w:val="Normal"/>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p.legalis.pl/document-view.seam?documentId=mrswglrrg4zdimq"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LibreOffice/5.1.0.3$Windows_x86 LibreOffice_project/5e3e00a007d9b3b6efb6797a8b8e57b51ab1f737</Application>
  <Pages>5</Pages>
  <Words>1431</Words>
  <Characters>9162</Characters>
  <CharactersWithSpaces>10556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2017-04-07T11:41:00Z</dcterms:created>
  <dc:creator>Rafałowicz Paweł</dc:creator>
  <dc:description/>
  <dc:language>pl-PL</dc:language>
  <cp:lastModifiedBy/>
  <dcterms:modified xsi:type="dcterms:W3CDTF">2017-04-08T10:40:08Z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