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1" w:rsidRDefault="00277391" w:rsidP="00277391">
      <w:pPr>
        <w:jc w:val="center"/>
      </w:pPr>
      <w:r>
        <w:t xml:space="preserve">WYKAZ HASEŁ OBOWIĄZUJĄCYCH NA EGZAMIN </w:t>
      </w:r>
    </w:p>
    <w:p w:rsidR="00277391" w:rsidRDefault="00277391" w:rsidP="00277391">
      <w:pPr>
        <w:jc w:val="center"/>
      </w:pPr>
      <w:r>
        <w:t>WSTĘP DO PR</w:t>
      </w:r>
      <w:r w:rsidR="001A3A3D">
        <w:t>A</w:t>
      </w:r>
      <w:r>
        <w:t xml:space="preserve">WOZNAWSTWA </w:t>
      </w:r>
      <w:r w:rsidR="00945283">
        <w:t xml:space="preserve"> I </w:t>
      </w:r>
      <w:r w:rsidR="003656DF">
        <w:t>NSP (Z</w:t>
      </w:r>
      <w:r>
        <w:t xml:space="preserve">)  </w:t>
      </w:r>
    </w:p>
    <w:p w:rsidR="00277391" w:rsidRDefault="00466CCF" w:rsidP="00C27679">
      <w:pPr>
        <w:jc w:val="center"/>
      </w:pPr>
      <w:r>
        <w:t>ROK AKADEMICKI 2017/2018</w:t>
      </w:r>
    </w:p>
    <w:p w:rsidR="00B37C51" w:rsidRPr="00277391" w:rsidRDefault="00B37C51" w:rsidP="00B37C51">
      <w:pPr>
        <w:rPr>
          <w:b/>
        </w:rPr>
      </w:pPr>
      <w:r w:rsidRPr="00277391">
        <w:rPr>
          <w:b/>
        </w:rPr>
        <w:t>Rozdział I</w:t>
      </w:r>
      <w:r w:rsidR="00277391">
        <w:rPr>
          <w:b/>
        </w:rPr>
        <w:t xml:space="preserve">  Charakterystyka prawa i prawoznawstwa </w:t>
      </w:r>
    </w:p>
    <w:p w:rsidR="00E40559" w:rsidRDefault="00B37C51" w:rsidP="00B37C51">
      <w:pPr>
        <w:pStyle w:val="Akapitzlist"/>
        <w:numPr>
          <w:ilvl w:val="0"/>
          <w:numId w:val="1"/>
        </w:numPr>
      </w:pPr>
      <w:r>
        <w:t>Aksjologia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Autonomia prawa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proofErr w:type="spellStart"/>
      <w:r>
        <w:t>Dogmatycznoprawna</w:t>
      </w:r>
      <w:proofErr w:type="spellEnd"/>
      <w:r>
        <w:t xml:space="preserve"> metoda, metoda formalno dogmatyczna, metoda tekstowa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Dogmatyka prawa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Doktryna prawnicza</w:t>
      </w:r>
    </w:p>
    <w:p w:rsidR="00B37C51" w:rsidRDefault="00B37C51" w:rsidP="003656DF">
      <w:pPr>
        <w:pStyle w:val="Akapitzlist"/>
        <w:numPr>
          <w:ilvl w:val="0"/>
          <w:numId w:val="1"/>
        </w:numPr>
      </w:pPr>
      <w:r>
        <w:t>Dyscyplina prawnicza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Instrumentalizacja prawa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Integracja wewnętrzna nauk prawnych</w:t>
      </w:r>
    </w:p>
    <w:p w:rsidR="00B37C51" w:rsidRDefault="00B37C51" w:rsidP="003656DF">
      <w:pPr>
        <w:pStyle w:val="Akapitzlist"/>
        <w:numPr>
          <w:ilvl w:val="0"/>
          <w:numId w:val="1"/>
        </w:numPr>
      </w:pPr>
      <w:r>
        <w:t>Integracja zewnętrzna nauk prawnych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Legitymizacja prawa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Metodologia badań prawniczych</w:t>
      </w:r>
    </w:p>
    <w:p w:rsidR="00B37C51" w:rsidRDefault="00277391" w:rsidP="00B37C51">
      <w:pPr>
        <w:pStyle w:val="Akapitzlist"/>
        <w:numPr>
          <w:ilvl w:val="0"/>
          <w:numId w:val="1"/>
        </w:numPr>
      </w:pPr>
      <w:r>
        <w:t xml:space="preserve">Nauki </w:t>
      </w:r>
      <w:proofErr w:type="spellStart"/>
      <w:r>
        <w:t>historyczno</w:t>
      </w:r>
      <w:r w:rsidR="00B37C51">
        <w:t>prawne</w:t>
      </w:r>
      <w:proofErr w:type="spellEnd"/>
    </w:p>
    <w:p w:rsidR="00B37C51" w:rsidRDefault="00B37C51" w:rsidP="00B37C51">
      <w:pPr>
        <w:pStyle w:val="Akapitzlist"/>
        <w:numPr>
          <w:ilvl w:val="0"/>
          <w:numId w:val="1"/>
        </w:numPr>
      </w:pPr>
      <w:r>
        <w:t>Nauki pomocnicze</w:t>
      </w:r>
    </w:p>
    <w:p w:rsidR="00B37C51" w:rsidRDefault="00B37C51" w:rsidP="003656DF">
      <w:pPr>
        <w:pStyle w:val="Akapitzlist"/>
        <w:numPr>
          <w:ilvl w:val="0"/>
          <w:numId w:val="1"/>
        </w:numPr>
      </w:pPr>
      <w:r>
        <w:t>Nauki prawne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Prawodawca racjonalny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Prawoznawstwo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Problematyka badawcza prawoznawstwa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Szczegółowe nauki prawne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 xml:space="preserve">Wartość wewnętrzna prawa </w:t>
      </w:r>
    </w:p>
    <w:p w:rsidR="00B37C51" w:rsidRPr="00277391" w:rsidRDefault="00B37C51" w:rsidP="00B37C51">
      <w:pPr>
        <w:pStyle w:val="Akapitzlist"/>
        <w:rPr>
          <w:b/>
        </w:rPr>
      </w:pPr>
    </w:p>
    <w:p w:rsidR="00B37C51" w:rsidRPr="00277391" w:rsidRDefault="00B37C51" w:rsidP="00B37C51">
      <w:pPr>
        <w:pStyle w:val="Akapitzlist"/>
        <w:rPr>
          <w:b/>
        </w:rPr>
      </w:pPr>
      <w:r w:rsidRPr="00277391">
        <w:rPr>
          <w:b/>
        </w:rPr>
        <w:t>Rozdział II</w:t>
      </w:r>
      <w:r w:rsidR="00277391">
        <w:rPr>
          <w:b/>
        </w:rPr>
        <w:t xml:space="preserve"> Norma postępowania jako wyrażenie języka 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Adresat normy prawnej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Aksjologiczne obowiązywanie normy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Czynność konwencjonalna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Czynność psychofizyczna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Dwuelementowa struktura normy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Dyrektywa celowościowa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Dyspozycja normy prawnej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Ekspresyjna funkcja wypowiedzi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Faktyczne obowiązywanie normy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Funkcja wypowiedzi</w:t>
      </w:r>
    </w:p>
    <w:p w:rsidR="00B37C51" w:rsidRDefault="00AC7F31" w:rsidP="00B37C51">
      <w:pPr>
        <w:pStyle w:val="Akapitzlist"/>
        <w:numPr>
          <w:ilvl w:val="0"/>
          <w:numId w:val="5"/>
        </w:numPr>
      </w:pPr>
      <w:r>
        <w:t>Hipoteza normy prawnej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proofErr w:type="spellStart"/>
      <w:r>
        <w:t>Ius</w:t>
      </w:r>
      <w:proofErr w:type="spellEnd"/>
      <w:r>
        <w:t xml:space="preserve"> </w:t>
      </w:r>
      <w:proofErr w:type="spellStart"/>
      <w:r>
        <w:t>cogens</w:t>
      </w:r>
      <w:proofErr w:type="spellEnd"/>
    </w:p>
    <w:p w:rsidR="00AC7F31" w:rsidRDefault="00AC7F31" w:rsidP="00B37C51">
      <w:pPr>
        <w:pStyle w:val="Akapitzlist"/>
        <w:numPr>
          <w:ilvl w:val="0"/>
          <w:numId w:val="5"/>
        </w:numPr>
      </w:pPr>
      <w:proofErr w:type="spellStart"/>
      <w:r>
        <w:t>Ius</w:t>
      </w:r>
      <w:proofErr w:type="spellEnd"/>
      <w:r>
        <w:t xml:space="preserve"> </w:t>
      </w:r>
      <w:proofErr w:type="spellStart"/>
      <w:r>
        <w:t>dispositivum</w:t>
      </w:r>
      <w:proofErr w:type="spellEnd"/>
    </w:p>
    <w:p w:rsidR="00AC7F31" w:rsidRDefault="00AC7F31" w:rsidP="00B37C51">
      <w:pPr>
        <w:pStyle w:val="Akapitzlist"/>
        <w:numPr>
          <w:ilvl w:val="0"/>
          <w:numId w:val="5"/>
        </w:numPr>
      </w:pPr>
      <w:r>
        <w:t>Jednoznaczność normy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Język naturalny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Język prawniczy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Język prawny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lastRenderedPageBreak/>
        <w:t>Język sztuczny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Językowy kształt normy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Kompetencja prawna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Kondensacja norm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proofErr w:type="spellStart"/>
      <w:r>
        <w:t>Lex</w:t>
      </w:r>
      <w:proofErr w:type="spellEnd"/>
      <w:r>
        <w:t xml:space="preserve"> </w:t>
      </w:r>
      <w:proofErr w:type="spellStart"/>
      <w:r>
        <w:t>generalis</w:t>
      </w:r>
      <w:proofErr w:type="spellEnd"/>
    </w:p>
    <w:p w:rsidR="00AC7F31" w:rsidRDefault="00AC7F31" w:rsidP="00B37C51">
      <w:pPr>
        <w:pStyle w:val="Akapitzlist"/>
        <w:numPr>
          <w:ilvl w:val="0"/>
          <w:numId w:val="5"/>
        </w:numPr>
      </w:pPr>
      <w:proofErr w:type="spellStart"/>
      <w:r>
        <w:t>Metanorma</w:t>
      </w:r>
      <w:proofErr w:type="spellEnd"/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abstrakcyjna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generalna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indywidualna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kompetencyjna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konkretna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moralna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obyczajowa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Norma postępowania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Norma prawna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Norma programowa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Norma sankcjonowana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Norma sankcjonująca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Norma upoważniająca lub zezwalająca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Obowiązywanie normy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Ocena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Opisowa funkcja wypowiedzi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proofErr w:type="spellStart"/>
      <w:r>
        <w:t>Performatywna</w:t>
      </w:r>
      <w:proofErr w:type="spellEnd"/>
      <w:r>
        <w:t xml:space="preserve"> funkcja wypowiedzi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Pozajęzykowy kontekst normy postępowania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 xml:space="preserve">Reguła dokonywania czynności konwencjonalnych 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Reguły pierwotne i wtórne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Rozczłonkowanie norm w przepisach</w:t>
      </w:r>
    </w:p>
    <w:p w:rsidR="00AC7F31" w:rsidRDefault="00AC7F31" w:rsidP="00277391">
      <w:pPr>
        <w:pStyle w:val="Akapitzlist"/>
        <w:numPr>
          <w:ilvl w:val="0"/>
          <w:numId w:val="5"/>
        </w:numPr>
      </w:pPr>
      <w:r>
        <w:t>Sankcja normy prawnej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Struktura normy prawnej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Sugestywna funkcja wypowiedzi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Systemowe obowiązywanie normy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proofErr w:type="spellStart"/>
      <w:r>
        <w:t>Tetyczne</w:t>
      </w:r>
      <w:proofErr w:type="spellEnd"/>
      <w:r>
        <w:t xml:space="preserve"> obowiązywanie normy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Trójelementowa struktura normy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Wzór zachowania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Zakres normowania normy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Zakres zastosowania normy</w:t>
      </w:r>
    </w:p>
    <w:p w:rsidR="00C27679" w:rsidRDefault="00AC7F31" w:rsidP="00C27679">
      <w:pPr>
        <w:pStyle w:val="Akapitzlist"/>
        <w:numPr>
          <w:ilvl w:val="0"/>
          <w:numId w:val="5"/>
        </w:numPr>
      </w:pPr>
      <w:r>
        <w:t>Zasady prawa</w:t>
      </w:r>
    </w:p>
    <w:p w:rsidR="00C27679" w:rsidRPr="00C27679" w:rsidRDefault="00C27679" w:rsidP="00C27679">
      <w:pPr>
        <w:pStyle w:val="Akapitzlist"/>
      </w:pPr>
    </w:p>
    <w:p w:rsidR="005F2BBF" w:rsidRDefault="005F2BBF" w:rsidP="005F2BBF">
      <w:pPr>
        <w:pStyle w:val="Akapitzlist"/>
        <w:rPr>
          <w:b/>
        </w:rPr>
      </w:pPr>
      <w:r w:rsidRPr="00277391">
        <w:rPr>
          <w:b/>
        </w:rPr>
        <w:t>Rozdział III</w:t>
      </w:r>
      <w:r w:rsidR="00277391">
        <w:rPr>
          <w:b/>
        </w:rPr>
        <w:t xml:space="preserve"> System prawa</w:t>
      </w:r>
    </w:p>
    <w:p w:rsidR="00C27679" w:rsidRPr="00277391" w:rsidRDefault="00C27679" w:rsidP="005F2BBF">
      <w:pPr>
        <w:pStyle w:val="Akapitzlist"/>
        <w:rPr>
          <w:b/>
        </w:rPr>
      </w:pP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Chronologiczna reguła kolizyjna</w:t>
      </w:r>
    </w:p>
    <w:p w:rsidR="00662FEC" w:rsidRDefault="00662FEC" w:rsidP="00277391">
      <w:pPr>
        <w:pStyle w:val="Akapitzlist"/>
        <w:numPr>
          <w:ilvl w:val="0"/>
          <w:numId w:val="6"/>
        </w:numPr>
      </w:pPr>
      <w:r>
        <w:t>Dyferencjacja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Gałąź prawa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Hierarchiczna reguła kolizyjna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Konkretny system prawa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lastRenderedPageBreak/>
        <w:t>Luka aksjologiczna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Luka konstrukcyjna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Luka logiczna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Luka w prawie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proofErr w:type="spellStart"/>
      <w:r>
        <w:t>Metareguła</w:t>
      </w:r>
      <w:proofErr w:type="spellEnd"/>
      <w:r>
        <w:t xml:space="preserve"> kolizyjna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Niesprzeczność systemu prawa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Obowiązywanie normy prawnej w czasie</w:t>
      </w:r>
    </w:p>
    <w:p w:rsidR="00662FEC" w:rsidRDefault="00662FEC" w:rsidP="009A2D24">
      <w:pPr>
        <w:pStyle w:val="Akapitzlist"/>
        <w:numPr>
          <w:ilvl w:val="0"/>
          <w:numId w:val="6"/>
        </w:numPr>
      </w:pPr>
      <w:r>
        <w:t>Obowiązywanie normy prawnej w przestrzeni</w:t>
      </w:r>
    </w:p>
    <w:p w:rsidR="00662FEC" w:rsidRDefault="00662FEC" w:rsidP="003656DF">
      <w:pPr>
        <w:pStyle w:val="Akapitzlist"/>
        <w:numPr>
          <w:ilvl w:val="0"/>
          <w:numId w:val="6"/>
        </w:numPr>
      </w:pPr>
      <w:proofErr w:type="spellStart"/>
      <w:r>
        <w:t>Prakseologicznma</w:t>
      </w:r>
      <w:proofErr w:type="spellEnd"/>
      <w:r>
        <w:t xml:space="preserve"> niezgodność norm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Przeciwieństwo norm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Reguły kolizyjne</w:t>
      </w:r>
    </w:p>
    <w:p w:rsidR="00662FEC" w:rsidRDefault="00662FEC" w:rsidP="00277391">
      <w:pPr>
        <w:pStyle w:val="Akapitzlist"/>
        <w:numPr>
          <w:ilvl w:val="0"/>
          <w:numId w:val="6"/>
        </w:numPr>
      </w:pPr>
      <w:r>
        <w:t>Sprzeczność logiczna norm</w:t>
      </w:r>
    </w:p>
    <w:p w:rsidR="00CB2E23" w:rsidRDefault="00CB2E23" w:rsidP="00662FEC">
      <w:pPr>
        <w:pStyle w:val="Akapitzlist"/>
        <w:numPr>
          <w:ilvl w:val="0"/>
          <w:numId w:val="6"/>
        </w:numPr>
      </w:pPr>
      <w:r>
        <w:t xml:space="preserve">System </w:t>
      </w:r>
      <w:proofErr w:type="spellStart"/>
      <w:r>
        <w:t>common</w:t>
      </w:r>
      <w:proofErr w:type="spellEnd"/>
      <w:r>
        <w:t xml:space="preserve"> law</w:t>
      </w:r>
    </w:p>
    <w:p w:rsidR="00CB2E23" w:rsidRDefault="00CB2E23" w:rsidP="00662FEC">
      <w:pPr>
        <w:pStyle w:val="Akapitzlist"/>
        <w:numPr>
          <w:ilvl w:val="0"/>
          <w:numId w:val="6"/>
        </w:numPr>
      </w:pPr>
      <w:r>
        <w:t>System prawa</w:t>
      </w:r>
    </w:p>
    <w:p w:rsidR="00CB2E23" w:rsidRDefault="00CB2E23" w:rsidP="00662FEC">
      <w:pPr>
        <w:pStyle w:val="Akapitzlist"/>
        <w:numPr>
          <w:ilvl w:val="0"/>
          <w:numId w:val="6"/>
        </w:numPr>
      </w:pPr>
      <w:r>
        <w:t>System prawa kontynentalnego</w:t>
      </w:r>
    </w:p>
    <w:p w:rsidR="00CB2E23" w:rsidRDefault="00CB2E23" w:rsidP="00662FEC">
      <w:pPr>
        <w:pStyle w:val="Akapitzlist"/>
        <w:numPr>
          <w:ilvl w:val="0"/>
          <w:numId w:val="6"/>
        </w:numPr>
      </w:pPr>
      <w:r>
        <w:t>System prawny – typ</w:t>
      </w:r>
    </w:p>
    <w:p w:rsidR="00CB2E23" w:rsidRDefault="00CB2E23" w:rsidP="00662FEC">
      <w:pPr>
        <w:pStyle w:val="Akapitzlist"/>
        <w:numPr>
          <w:ilvl w:val="0"/>
          <w:numId w:val="6"/>
        </w:numPr>
      </w:pPr>
      <w:r>
        <w:t>Zakresowa reguła kolizyjna</w:t>
      </w:r>
    </w:p>
    <w:p w:rsidR="00CB2E23" w:rsidRDefault="00CB2E23" w:rsidP="00662FEC">
      <w:pPr>
        <w:pStyle w:val="Akapitzlist"/>
        <w:numPr>
          <w:ilvl w:val="0"/>
          <w:numId w:val="6"/>
        </w:numPr>
      </w:pPr>
      <w:r>
        <w:t>Zupełność systemu prawa</w:t>
      </w:r>
    </w:p>
    <w:p w:rsidR="00CB2E23" w:rsidRPr="00277391" w:rsidRDefault="00CB2E23" w:rsidP="00CB2E23">
      <w:pPr>
        <w:ind w:left="360"/>
        <w:rPr>
          <w:b/>
        </w:rPr>
      </w:pPr>
      <w:r w:rsidRPr="00277391">
        <w:rPr>
          <w:b/>
        </w:rPr>
        <w:t>Rozdział IV</w:t>
      </w:r>
      <w:r w:rsidR="00277391">
        <w:rPr>
          <w:b/>
        </w:rPr>
        <w:t xml:space="preserve"> Przepisy prawne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Definicja legalna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Delegacja ustawodawcza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Derogacja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Domniemanie faktyczne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Domniemanie prawne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Fikcje prawne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Instytucja prawna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Klauzule derogacyjne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Klauzule generalne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proofErr w:type="spellStart"/>
      <w:r>
        <w:t>Metaprzepisy</w:t>
      </w:r>
      <w:proofErr w:type="spellEnd"/>
    </w:p>
    <w:p w:rsidR="00CB2E23" w:rsidRDefault="00CB2E23" w:rsidP="00CB2E23">
      <w:pPr>
        <w:pStyle w:val="Akapitzlist"/>
        <w:numPr>
          <w:ilvl w:val="0"/>
          <w:numId w:val="7"/>
        </w:numPr>
      </w:pPr>
      <w:r>
        <w:t>Oceny charakteryzujące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 bezpośrednio wyznaczający zachowanie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 prawny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Przepisy blankietowe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Przepisy dostosowujące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Przepisy końcowe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Przepisy odsyłające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Przepisy pośrednio wyznaczające zachowania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Przepisy przejściowe</w:t>
      </w:r>
    </w:p>
    <w:p w:rsidR="00CB2E23" w:rsidRDefault="00123B95" w:rsidP="00CB2E23">
      <w:pPr>
        <w:pStyle w:val="Akapitzlist"/>
        <w:numPr>
          <w:ilvl w:val="0"/>
          <w:numId w:val="7"/>
        </w:numPr>
      </w:pPr>
      <w:r>
        <w:t xml:space="preserve">Rekonstrukcja normy </w:t>
      </w:r>
      <w:r w:rsidR="008814C0">
        <w:t>z przepisu prawnego</w:t>
      </w:r>
    </w:p>
    <w:p w:rsidR="008814C0" w:rsidRDefault="008814C0" w:rsidP="00CB2E23">
      <w:pPr>
        <w:pStyle w:val="Akapitzlist"/>
        <w:numPr>
          <w:ilvl w:val="0"/>
          <w:numId w:val="7"/>
        </w:numPr>
      </w:pPr>
      <w:r>
        <w:t>Wypowiedzi kreujące</w:t>
      </w:r>
    </w:p>
    <w:p w:rsidR="008814C0" w:rsidRDefault="008814C0" w:rsidP="008814C0">
      <w:pPr>
        <w:pStyle w:val="Akapitzlist"/>
        <w:ind w:left="1080"/>
      </w:pPr>
    </w:p>
    <w:p w:rsidR="003656DF" w:rsidRDefault="003656DF" w:rsidP="008814C0">
      <w:pPr>
        <w:pStyle w:val="Akapitzlist"/>
        <w:ind w:left="1080"/>
      </w:pPr>
    </w:p>
    <w:p w:rsidR="008814C0" w:rsidRPr="00277391" w:rsidRDefault="008814C0" w:rsidP="008814C0">
      <w:pPr>
        <w:pStyle w:val="Akapitzlist"/>
        <w:ind w:left="1080"/>
        <w:rPr>
          <w:b/>
        </w:rPr>
      </w:pPr>
      <w:r w:rsidRPr="00277391">
        <w:rPr>
          <w:b/>
        </w:rPr>
        <w:t>Rozdział V</w:t>
      </w:r>
      <w:r w:rsidR="00AA4377">
        <w:rPr>
          <w:b/>
        </w:rPr>
        <w:t xml:space="preserve"> Tworzenie prawa</w:t>
      </w:r>
    </w:p>
    <w:p w:rsidR="008814C0" w:rsidRDefault="008814C0" w:rsidP="008814C0">
      <w:pPr>
        <w:pStyle w:val="Akapitzlist"/>
        <w:numPr>
          <w:ilvl w:val="0"/>
          <w:numId w:val="8"/>
        </w:numPr>
      </w:pPr>
      <w:r>
        <w:t>Polityka prawa</w:t>
      </w:r>
    </w:p>
    <w:p w:rsidR="008814C0" w:rsidRDefault="008814C0" w:rsidP="008814C0">
      <w:pPr>
        <w:pStyle w:val="Akapitzlist"/>
        <w:numPr>
          <w:ilvl w:val="0"/>
          <w:numId w:val="8"/>
        </w:numPr>
      </w:pPr>
      <w:r>
        <w:lastRenderedPageBreak/>
        <w:t>Precedens</w:t>
      </w:r>
    </w:p>
    <w:p w:rsidR="008814C0" w:rsidRDefault="008814C0" w:rsidP="008814C0">
      <w:pPr>
        <w:pStyle w:val="Akapitzlist"/>
        <w:numPr>
          <w:ilvl w:val="0"/>
          <w:numId w:val="8"/>
        </w:numPr>
      </w:pPr>
      <w:r>
        <w:t>Stanowione prawo</w:t>
      </w:r>
    </w:p>
    <w:p w:rsidR="008814C0" w:rsidRDefault="008814C0" w:rsidP="008814C0">
      <w:pPr>
        <w:pStyle w:val="Akapitzlist"/>
        <w:numPr>
          <w:ilvl w:val="0"/>
          <w:numId w:val="8"/>
        </w:numPr>
      </w:pPr>
      <w:r>
        <w:t>Technika prawodawcza</w:t>
      </w:r>
    </w:p>
    <w:p w:rsidR="008814C0" w:rsidRDefault="008814C0" w:rsidP="008814C0">
      <w:pPr>
        <w:pStyle w:val="Akapitzlist"/>
        <w:numPr>
          <w:ilvl w:val="0"/>
          <w:numId w:val="8"/>
        </w:numPr>
      </w:pPr>
      <w:r>
        <w:t xml:space="preserve">Vacatio </w:t>
      </w:r>
      <w:proofErr w:type="spellStart"/>
      <w:r>
        <w:t>legis</w:t>
      </w:r>
      <w:proofErr w:type="spellEnd"/>
    </w:p>
    <w:p w:rsidR="008814C0" w:rsidRDefault="008814C0" w:rsidP="008814C0">
      <w:pPr>
        <w:pStyle w:val="Akapitzlist"/>
        <w:numPr>
          <w:ilvl w:val="0"/>
          <w:numId w:val="8"/>
        </w:numPr>
      </w:pPr>
      <w:r>
        <w:t>Źródło prawa</w:t>
      </w:r>
    </w:p>
    <w:p w:rsidR="008814C0" w:rsidRPr="00277391" w:rsidRDefault="008814C0" w:rsidP="008814C0">
      <w:pPr>
        <w:pStyle w:val="Akapitzlist"/>
        <w:rPr>
          <w:b/>
        </w:rPr>
      </w:pPr>
    </w:p>
    <w:p w:rsidR="008814C0" w:rsidRPr="00277391" w:rsidRDefault="008814C0" w:rsidP="008814C0">
      <w:pPr>
        <w:pStyle w:val="Akapitzlist"/>
        <w:rPr>
          <w:b/>
        </w:rPr>
      </w:pPr>
      <w:r w:rsidRPr="00277391">
        <w:rPr>
          <w:b/>
        </w:rPr>
        <w:t>Rozdział VI</w:t>
      </w:r>
      <w:r w:rsidR="00AA4377">
        <w:rPr>
          <w:b/>
        </w:rPr>
        <w:t xml:space="preserve"> Wykładnia prawa i argumentacje prawnicze 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 xml:space="preserve">A </w:t>
      </w:r>
      <w:proofErr w:type="spellStart"/>
      <w:r>
        <w:t>contrario</w:t>
      </w:r>
      <w:proofErr w:type="spellEnd"/>
      <w:r>
        <w:t xml:space="preserve"> wnioskowanie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Aksjologiczne wynikanie norm</w:t>
      </w:r>
    </w:p>
    <w:p w:rsidR="008814C0" w:rsidRDefault="00277391" w:rsidP="008814C0">
      <w:pPr>
        <w:pStyle w:val="Akapitzlist"/>
        <w:numPr>
          <w:ilvl w:val="0"/>
          <w:numId w:val="9"/>
        </w:numPr>
      </w:pPr>
      <w:r>
        <w:t xml:space="preserve">A </w:t>
      </w:r>
      <w:proofErr w:type="spellStart"/>
      <w:r>
        <w:t>m</w:t>
      </w:r>
      <w:r w:rsidR="001A3A3D">
        <w:t>aiori</w:t>
      </w:r>
      <w:proofErr w:type="spellEnd"/>
      <w:r w:rsidR="008814C0">
        <w:t xml:space="preserve"> ad minus wnioskowanie lub argumentacja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 xml:space="preserve">A </w:t>
      </w:r>
      <w:proofErr w:type="spellStart"/>
      <w:r>
        <w:t>minori</w:t>
      </w:r>
      <w:proofErr w:type="spellEnd"/>
      <w:r>
        <w:t xml:space="preserve"> ad </w:t>
      </w:r>
      <w:proofErr w:type="spellStart"/>
      <w:r>
        <w:t>maius</w:t>
      </w:r>
      <w:proofErr w:type="spellEnd"/>
      <w:r>
        <w:t xml:space="preserve"> wnioskowanie lub argumentacja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 xml:space="preserve">Analogia </w:t>
      </w:r>
      <w:proofErr w:type="spellStart"/>
      <w:r>
        <w:t>I</w:t>
      </w:r>
      <w:r w:rsidR="00277391">
        <w:t>u</w:t>
      </w:r>
      <w:r>
        <w:t>ris</w:t>
      </w:r>
      <w:proofErr w:type="spellEnd"/>
    </w:p>
    <w:p w:rsidR="008814C0" w:rsidRDefault="008814C0" w:rsidP="008814C0">
      <w:pPr>
        <w:pStyle w:val="Akapitzlist"/>
        <w:numPr>
          <w:ilvl w:val="0"/>
          <w:numId w:val="9"/>
        </w:numPr>
      </w:pPr>
      <w:r>
        <w:t xml:space="preserve">Analogia </w:t>
      </w:r>
      <w:proofErr w:type="spellStart"/>
      <w:r>
        <w:t>legis</w:t>
      </w:r>
      <w:proofErr w:type="spellEnd"/>
    </w:p>
    <w:p w:rsidR="008814C0" w:rsidRDefault="008814C0" w:rsidP="008814C0">
      <w:pPr>
        <w:pStyle w:val="Akapitzlist"/>
        <w:numPr>
          <w:ilvl w:val="0"/>
          <w:numId w:val="9"/>
        </w:numPr>
      </w:pPr>
      <w:r>
        <w:t>Argumentacja prawnicza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proofErr w:type="spellStart"/>
      <w:r>
        <w:t>Clara</w:t>
      </w:r>
      <w:proofErr w:type="spellEnd"/>
      <w:r>
        <w:t xml:space="preserve"> non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interpretanda</w:t>
      </w:r>
      <w:proofErr w:type="spellEnd"/>
    </w:p>
    <w:p w:rsidR="008814C0" w:rsidRDefault="008814C0" w:rsidP="008814C0">
      <w:pPr>
        <w:pStyle w:val="Akapitzlist"/>
        <w:numPr>
          <w:ilvl w:val="0"/>
          <w:numId w:val="9"/>
        </w:numPr>
      </w:pPr>
      <w:r>
        <w:t>Derywacyjna koncepcja wykładni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Dynamiczna ideologia wykładni prawa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Dyrektywy interpretacyjne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Dyrektywy preferencji wykładni i dyrektywy procedury wykładni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Ideologia wykładni prawa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proofErr w:type="spellStart"/>
      <w:r>
        <w:t>Klaryfikacyjna</w:t>
      </w:r>
      <w:proofErr w:type="spellEnd"/>
      <w:r>
        <w:t xml:space="preserve"> koncepcja wykładni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Kryteria podziału wykładni prawa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Logiczne wynikanie norm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Metody wykładni prawa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Moc wiążąca wykładni prawa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Nieostrość znaczeniowa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Pragmatyczne i pragmatyczne ujęcie wykładni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Racje wykładni</w:t>
      </w:r>
    </w:p>
    <w:p w:rsidR="008814C0" w:rsidRDefault="00B07BE7" w:rsidP="008814C0">
      <w:pPr>
        <w:pStyle w:val="Akapitzlist"/>
        <w:numPr>
          <w:ilvl w:val="0"/>
          <w:numId w:val="9"/>
        </w:numPr>
      </w:pPr>
      <w:r>
        <w:t>Reguły inferencyjne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Reguły wnioskowań prawniczych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Reguły wykładni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Statyczna ideologia wykładni prawa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 xml:space="preserve">Sytuacja wykładni- sytuacja </w:t>
      </w:r>
      <w:proofErr w:type="spellStart"/>
      <w:r>
        <w:t>izomorfii</w:t>
      </w:r>
      <w:proofErr w:type="spellEnd"/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Wieloznaczność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Wnioskowanie prawnicze a wykładnia prawa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adaptacyjna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autentyczna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doktrynalna (naukowa)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funkcjonalna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historyczna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językowa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legalna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operatywna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porównawcza (komparatystyczna)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prawa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lastRenderedPageBreak/>
        <w:t>Wykładnia rozszerzająca</w:t>
      </w:r>
    </w:p>
    <w:p w:rsidR="00B07BE7" w:rsidRDefault="00B07BE7" w:rsidP="00B07BE7">
      <w:pPr>
        <w:pStyle w:val="Akapitzlist"/>
        <w:numPr>
          <w:ilvl w:val="0"/>
          <w:numId w:val="9"/>
        </w:numPr>
      </w:pPr>
      <w:r>
        <w:t>Wykładnia stwierdzająca (literalna)</w:t>
      </w:r>
    </w:p>
    <w:p w:rsidR="00B07BE7" w:rsidRDefault="00B07BE7" w:rsidP="00B07BE7">
      <w:pPr>
        <w:pStyle w:val="Akapitzlist"/>
        <w:numPr>
          <w:ilvl w:val="0"/>
          <w:numId w:val="9"/>
        </w:numPr>
      </w:pPr>
      <w:r>
        <w:t>Wykładnia systemowa</w:t>
      </w:r>
    </w:p>
    <w:p w:rsidR="00B07BE7" w:rsidRDefault="00B07BE7" w:rsidP="00B07BE7">
      <w:pPr>
        <w:pStyle w:val="Akapitzlist"/>
        <w:numPr>
          <w:ilvl w:val="0"/>
          <w:numId w:val="9"/>
        </w:numPr>
      </w:pPr>
      <w:r>
        <w:t>Wykładnia zawężająca</w:t>
      </w:r>
    </w:p>
    <w:p w:rsidR="00B07BE7" w:rsidRDefault="00B07BE7" w:rsidP="00B07BE7">
      <w:pPr>
        <w:pStyle w:val="Akapitzlist"/>
        <w:numPr>
          <w:ilvl w:val="0"/>
          <w:numId w:val="9"/>
        </w:numPr>
      </w:pPr>
      <w:r>
        <w:t>Założenie o konsekwencji ocen prawodawcy</w:t>
      </w:r>
    </w:p>
    <w:p w:rsidR="00B07BE7" w:rsidRPr="00277391" w:rsidRDefault="00B07BE7" w:rsidP="00B07BE7">
      <w:pPr>
        <w:rPr>
          <w:b/>
        </w:rPr>
      </w:pPr>
      <w:r w:rsidRPr="00277391">
        <w:rPr>
          <w:b/>
        </w:rPr>
        <w:t>Rozdział VII</w:t>
      </w:r>
      <w:r w:rsidR="00AA4377">
        <w:rPr>
          <w:b/>
        </w:rPr>
        <w:t xml:space="preserve"> Stosowanie prawa 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Akt stosowania prawa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Decyzyjny model stosowania prawa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Ideologia praworządnej i racjonalne decyzji stosowania prawa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Ideologia stosowania prawa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Ideologia swobodnej decyzji stosowania prawa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Ideologia związanej decyzji stosowania prawa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Kierowniczy model stosowania prawa</w:t>
      </w:r>
    </w:p>
    <w:p w:rsidR="00B07BE7" w:rsidRDefault="00523603" w:rsidP="00B07BE7">
      <w:pPr>
        <w:pStyle w:val="Akapitzlist"/>
        <w:numPr>
          <w:ilvl w:val="0"/>
          <w:numId w:val="10"/>
        </w:numPr>
      </w:pPr>
      <w:proofErr w:type="spellStart"/>
      <w:r>
        <w:t>Konkluzywność</w:t>
      </w:r>
      <w:proofErr w:type="spellEnd"/>
      <w:r>
        <w:t xml:space="preserve"> rozstrzygnięcia</w:t>
      </w:r>
    </w:p>
    <w:p w:rsidR="00523603" w:rsidRDefault="00523603" w:rsidP="00B07BE7">
      <w:pPr>
        <w:pStyle w:val="Akapitzlist"/>
        <w:numPr>
          <w:ilvl w:val="0"/>
          <w:numId w:val="10"/>
        </w:numPr>
      </w:pPr>
      <w:r>
        <w:t>Kwalifikacja prawna</w:t>
      </w:r>
    </w:p>
    <w:p w:rsidR="00523603" w:rsidRDefault="00523603" w:rsidP="00B07BE7">
      <w:pPr>
        <w:pStyle w:val="Akapitzlist"/>
        <w:numPr>
          <w:ilvl w:val="0"/>
          <w:numId w:val="10"/>
        </w:numPr>
      </w:pPr>
      <w:proofErr w:type="spellStart"/>
      <w:r>
        <w:t>Lex</w:t>
      </w:r>
      <w:proofErr w:type="spellEnd"/>
      <w:r>
        <w:t xml:space="preserve"> retro non </w:t>
      </w:r>
      <w:proofErr w:type="spellStart"/>
      <w:r>
        <w:t>agit</w:t>
      </w:r>
      <w:proofErr w:type="spellEnd"/>
    </w:p>
    <w:p w:rsidR="00523603" w:rsidRDefault="00523603" w:rsidP="00C942CD">
      <w:pPr>
        <w:pStyle w:val="Akapitzlist"/>
        <w:numPr>
          <w:ilvl w:val="0"/>
          <w:numId w:val="10"/>
        </w:numPr>
      </w:pPr>
      <w:r>
        <w:t>Luz decyzyjny</w:t>
      </w:r>
    </w:p>
    <w:p w:rsidR="00523603" w:rsidRDefault="00523603" w:rsidP="00B07BE7">
      <w:pPr>
        <w:pStyle w:val="Akapitzlist"/>
        <w:numPr>
          <w:ilvl w:val="0"/>
          <w:numId w:val="10"/>
        </w:numPr>
      </w:pPr>
      <w:r>
        <w:t>Sądowy model stosowania prawa</w:t>
      </w:r>
    </w:p>
    <w:p w:rsidR="00523603" w:rsidRDefault="00523603" w:rsidP="00B07BE7">
      <w:pPr>
        <w:pStyle w:val="Akapitzlist"/>
        <w:numPr>
          <w:ilvl w:val="0"/>
          <w:numId w:val="10"/>
        </w:numPr>
      </w:pPr>
      <w:r>
        <w:t>Subsumcja</w:t>
      </w:r>
    </w:p>
    <w:p w:rsidR="00523603" w:rsidRDefault="00523603" w:rsidP="00B07BE7">
      <w:pPr>
        <w:pStyle w:val="Akapitzlist"/>
        <w:numPr>
          <w:ilvl w:val="0"/>
          <w:numId w:val="10"/>
        </w:numPr>
      </w:pPr>
      <w:r>
        <w:t>Sylogizm prawniczy</w:t>
      </w:r>
    </w:p>
    <w:p w:rsidR="001A3A3D" w:rsidRDefault="001A3A3D" w:rsidP="001A3A3D"/>
    <w:p w:rsidR="00523603" w:rsidRDefault="001A3A3D" w:rsidP="001A3A3D">
      <w:r>
        <w:t xml:space="preserve">Na podstawie opracowania: </w:t>
      </w:r>
    </w:p>
    <w:p w:rsidR="001A3A3D" w:rsidRPr="001A3A3D" w:rsidRDefault="001A3A3D" w:rsidP="001A3A3D">
      <w:r w:rsidRPr="001A3A3D">
        <w:rPr>
          <w:i/>
        </w:rPr>
        <w:t>Wprowadzenie do nauk prawnych. Leksykon tematyczny</w:t>
      </w:r>
      <w:r w:rsidR="003656DF">
        <w:t>, pod red. Andrzeja</w:t>
      </w:r>
      <w:r>
        <w:t xml:space="preserve"> Batora (wydanie 1 lub następne) </w:t>
      </w:r>
      <w:r w:rsidR="00B60FFC">
        <w:t>.</w:t>
      </w:r>
    </w:p>
    <w:sectPr w:rsidR="001A3A3D" w:rsidRPr="001A3A3D" w:rsidSect="00E4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493"/>
    <w:multiLevelType w:val="hybridMultilevel"/>
    <w:tmpl w:val="128E1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5F3C"/>
    <w:multiLevelType w:val="hybridMultilevel"/>
    <w:tmpl w:val="99644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83A73"/>
    <w:multiLevelType w:val="hybridMultilevel"/>
    <w:tmpl w:val="F6DCE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092DB3"/>
    <w:multiLevelType w:val="hybridMultilevel"/>
    <w:tmpl w:val="CB9E0D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1124E"/>
    <w:multiLevelType w:val="hybridMultilevel"/>
    <w:tmpl w:val="C8CCD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A3AE1"/>
    <w:multiLevelType w:val="hybridMultilevel"/>
    <w:tmpl w:val="090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6057D"/>
    <w:multiLevelType w:val="hybridMultilevel"/>
    <w:tmpl w:val="868E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C64F8"/>
    <w:multiLevelType w:val="hybridMultilevel"/>
    <w:tmpl w:val="B442F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F2B2B"/>
    <w:multiLevelType w:val="hybridMultilevel"/>
    <w:tmpl w:val="A864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3537A"/>
    <w:multiLevelType w:val="hybridMultilevel"/>
    <w:tmpl w:val="733C3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623C02"/>
    <w:multiLevelType w:val="hybridMultilevel"/>
    <w:tmpl w:val="C2B0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7C51"/>
    <w:rsid w:val="000D412B"/>
    <w:rsid w:val="00113E6B"/>
    <w:rsid w:val="00123B95"/>
    <w:rsid w:val="001366F4"/>
    <w:rsid w:val="00183AD7"/>
    <w:rsid w:val="001A3A3D"/>
    <w:rsid w:val="001C2D28"/>
    <w:rsid w:val="002414D3"/>
    <w:rsid w:val="00277391"/>
    <w:rsid w:val="003656DF"/>
    <w:rsid w:val="00433E4A"/>
    <w:rsid w:val="00466CCF"/>
    <w:rsid w:val="00523603"/>
    <w:rsid w:val="00591B5C"/>
    <w:rsid w:val="005F2BBF"/>
    <w:rsid w:val="00662FEC"/>
    <w:rsid w:val="006C12A6"/>
    <w:rsid w:val="00716073"/>
    <w:rsid w:val="0074250D"/>
    <w:rsid w:val="00771FF3"/>
    <w:rsid w:val="007B5289"/>
    <w:rsid w:val="007D4D08"/>
    <w:rsid w:val="0082160F"/>
    <w:rsid w:val="008814C0"/>
    <w:rsid w:val="00945283"/>
    <w:rsid w:val="009A2D24"/>
    <w:rsid w:val="00A73943"/>
    <w:rsid w:val="00AA4377"/>
    <w:rsid w:val="00AC7F31"/>
    <w:rsid w:val="00B07BE7"/>
    <w:rsid w:val="00B37C51"/>
    <w:rsid w:val="00B60FFC"/>
    <w:rsid w:val="00C27679"/>
    <w:rsid w:val="00C76AE0"/>
    <w:rsid w:val="00C942CD"/>
    <w:rsid w:val="00CB2E23"/>
    <w:rsid w:val="00CF2C8E"/>
    <w:rsid w:val="00E133F5"/>
    <w:rsid w:val="00E40559"/>
    <w:rsid w:val="00F52802"/>
    <w:rsid w:val="00F9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</dc:creator>
  <cp:lastModifiedBy>Przemek</cp:lastModifiedBy>
  <cp:revision>2</cp:revision>
  <dcterms:created xsi:type="dcterms:W3CDTF">2017-12-28T19:12:00Z</dcterms:created>
  <dcterms:modified xsi:type="dcterms:W3CDTF">2017-12-28T19:12:00Z</dcterms:modified>
</cp:coreProperties>
</file>