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D7" w:rsidRPr="00392AC7" w:rsidRDefault="00342ED7" w:rsidP="00392AC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pl-PL"/>
        </w:rPr>
      </w:pPr>
      <w:r w:rsidRPr="00392AC7">
        <w:rPr>
          <w:rFonts w:ascii="Times New Roman" w:hAnsi="Times New Roman" w:cs="Times New Roman"/>
          <w:b/>
          <w:i/>
          <w:sz w:val="32"/>
          <w:szCs w:val="32"/>
          <w:lang w:val="pl-PL"/>
        </w:rPr>
        <w:t>Regulae iuris</w:t>
      </w:r>
      <w:r w:rsidR="00BB0E85">
        <w:rPr>
          <w:rFonts w:ascii="Times New Roman" w:hAnsi="Times New Roman" w:cs="Times New Roman"/>
          <w:b/>
          <w:i/>
          <w:sz w:val="32"/>
          <w:szCs w:val="32"/>
          <w:lang w:val="pl-PL"/>
        </w:rPr>
        <w:t xml:space="preserve"> </w:t>
      </w:r>
    </w:p>
    <w:p w:rsidR="00342ED7" w:rsidRDefault="00342ED7" w:rsidP="00342ED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I. Teoria prawa</w:t>
      </w:r>
    </w:p>
    <w:p w:rsidR="00392AC7" w:rsidRDefault="00392AC7" w:rsidP="00342ED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Hóminum causa omne ius constitútum sit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Wszelkie prawo powinno być stanowione ze względu na ludzi.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retro non agit.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prióri.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Ustawa późniejsza uchyla ustawę wcześniejszą.</w:t>
      </w:r>
    </w:p>
    <w:p w:rsidR="00BB0E85" w:rsidRPr="00D67D47" w:rsidRDefault="00342ED7" w:rsidP="00BB0E8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BB0E85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Leges ab ómnibus intéllegi debent.</w:t>
      </w:r>
      <w:r w:rsidR="00BB0E85" w:rsidRPr="00C015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342ED7" w:rsidRDefault="00BB0E85" w:rsidP="00BB0E85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Ustawy powinny być zrozumiałe przez wszystkich.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Dura lex, sed lex.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Twarde prawo, ale prawo.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6.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Summum ius summa iniuria.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Najwyższe prawo [bywa] najwyższym bezprawiem.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Scire leges non hoc est verba eárum tenére, sed vim ac potestátem.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Znajomość ustaw nie polega na  trzymaniu się ich słów, lecz sensu i znaczenia. 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Male enim nostro iure uti non debémus.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powinniśmy bowiem źle korzystać z naszego prawa.</w:t>
      </w:r>
    </w:p>
    <w:p w:rsidR="00BB0E85" w:rsidRPr="00C0156E" w:rsidRDefault="00342ED7" w:rsidP="00BB0E8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="00BB0E85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Iura non in síngulas persónas, sed generáliter constituúntur.</w:t>
      </w:r>
      <w:r w:rsidR="00BB0E85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42ED7" w:rsidRDefault="00BB0E85" w:rsidP="00BB0E85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Prawa ustanawia się nie dla konkretnych osób, lecz dla wszystkich.</w:t>
      </w:r>
    </w:p>
    <w:p w:rsidR="00342ED7" w:rsidRDefault="00342ED7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Ignorántia iuris nocet, ignorantia facti non nocet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Nieznajomość prawa szkodzi, nieznajomość faktu nie szkodzi.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  <w:t>II. Prawo konstytucyjne i administracyjne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Cessánte ratióne legis cessat et lex ipsa.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Gdy ustaje przyczyna ustawy, ustaje i sama ustawa.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Lex necessitátis est lex témporis.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Ustawa (wydana w chwili) konieczności jest prawem chwili.</w:t>
      </w:r>
    </w:p>
    <w:p w:rsidR="00342ED7" w:rsidRDefault="006867FA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="00342ED7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fr-FR"/>
        </w:rPr>
        <w:t>Ius públicum privatórum pactis mutári non potest.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Prawo publiczne nie może być zmieniane umowami osób prywatnych.</w:t>
      </w:r>
    </w:p>
    <w:p w:rsidR="00342ED7" w:rsidRDefault="006867FA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Lex iniusta non est lex.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Ustawa niesprawiedliwa nie jest ustawą.</w:t>
      </w:r>
    </w:p>
    <w:p w:rsidR="00342ED7" w:rsidRDefault="00BB0E85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Lex iniustíssima non est lex.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Ustawa rażąco niesprawiedliwa nie jest ustawą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342ED7" w:rsidRDefault="00E4235A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5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Líberae sunt cogitatiónes nostrae.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Nasze myśli są wolne.</w:t>
      </w:r>
    </w:p>
    <w:p w:rsidR="006867FA" w:rsidRDefault="006867FA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III. Prawo osobowe, rodzinne i czynności prawne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6867FA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Nascitúrus pro iam nato habétur, quótiens de cómmodis eius ágitur. </w:t>
      </w:r>
    </w:p>
    <w:p w:rsidR="00342ED7" w:rsidRDefault="00342ED7" w:rsidP="00686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Dziecko poczęte uznawane jest za już urodzone, ilekroć chodzi o jego korzyści. </w:t>
      </w:r>
    </w:p>
    <w:p w:rsidR="00342ED7" w:rsidRDefault="006867FA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Matrimónium inter invítos non contráhitur.</w:t>
      </w:r>
      <w:r w:rsidR="00342ED7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Małżeństwa nie zawiera się wbrew woli.</w:t>
      </w:r>
    </w:p>
    <w:p w:rsidR="00342ED7" w:rsidRDefault="00E4235A" w:rsidP="00342ED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Quod ab initio vitiósum est, non potest tractu témporis convaléscere.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To, co od początku jest wadliwe, nie może być uzdrowione z upływem czasu.</w:t>
      </w:r>
    </w:p>
    <w:p w:rsidR="00342ED7" w:rsidRDefault="00E4235A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In conventiónibus contrahéntium voluntátem potius quam verba spectári plácuit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Przyjęło się, że  w umowach powinna być bardziej uwzględniana wola stron niż [użyte przez nie] słowa.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Volénti non fit iniuria.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Chcącemu nie dzieje się krzywda.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IV. Prawo rzeczowe i spadkowe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</w:p>
    <w:p w:rsidR="00342ED7" w:rsidRPr="00E4235A" w:rsidRDefault="00342ED7" w:rsidP="00342ED7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E4235A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1.</w:t>
      </w:r>
      <w:r>
        <w:rPr>
          <w:rStyle w:val="Nagwek3"/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Accéssio</w:t>
      </w:r>
      <w:proofErr w:type="spellEnd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cédit</w:t>
      </w:r>
      <w:proofErr w:type="spellEnd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principáli</w:t>
      </w:r>
      <w:proofErr w:type="spellEnd"/>
      <w:r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.</w:t>
      </w:r>
    </w:p>
    <w:p w:rsidR="00342ED7" w:rsidRPr="00E4235A" w:rsidRDefault="00342ED7" w:rsidP="00342ED7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sz w:val="28"/>
          <w:szCs w:val="28"/>
        </w:rPr>
      </w:pPr>
      <w:r w:rsidRPr="00E4235A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Przyrost przypada rzeczy głównej.</w:t>
      </w:r>
    </w:p>
    <w:p w:rsidR="00342ED7" w:rsidRPr="00E4235A" w:rsidRDefault="00E4235A" w:rsidP="00342ED7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>2</w:t>
      </w:r>
      <w:r w:rsidR="00342ED7" w:rsidRPr="00E4235A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. </w:t>
      </w:r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Nemo plus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iuris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ad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alium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transférre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potest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, quam ipse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habet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.</w:t>
      </w:r>
    </w:p>
    <w:p w:rsidR="00342ED7" w:rsidRPr="00E4235A" w:rsidRDefault="00342ED7" w:rsidP="00342ED7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sz w:val="28"/>
          <w:szCs w:val="28"/>
        </w:rPr>
      </w:pPr>
      <w:r w:rsidRPr="00E4235A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nic może przenieść na drugiego więcej prawa</w:t>
      </w:r>
      <w:r w:rsidRPr="00E4235A">
        <w:rPr>
          <w:rStyle w:val="Teksttreci3Bezkursywy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 xml:space="preserve">, </w:t>
      </w:r>
      <w:r w:rsidRPr="00E4235A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niż sam ma.</w:t>
      </w:r>
    </w:p>
    <w:p w:rsidR="00342ED7" w:rsidRDefault="00E4235A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>3</w:t>
      </w:r>
      <w:r w:rsidR="00342ED7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.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Posséssor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malae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fidei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ullo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témpore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non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praescríbit</w:t>
      </w:r>
      <w:proofErr w:type="spellEnd"/>
      <w:r w:rsidR="006620E3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.</w:t>
      </w:r>
    </w:p>
    <w:p w:rsidR="00342ED7" w:rsidRPr="006620E3" w:rsidRDefault="00342ED7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sz w:val="28"/>
          <w:szCs w:val="28"/>
        </w:rPr>
      </w:pPr>
      <w:r w:rsidRPr="006620E3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Posiadacz w zlej wierze bez względu na czas nie może zasiedzieć rzeczy.</w:t>
      </w:r>
    </w:p>
    <w:p w:rsidR="00342ED7" w:rsidRPr="00E4235A" w:rsidRDefault="00E4235A" w:rsidP="00342ED7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="00342ED7">
        <w:rPr>
          <w:rStyle w:val="Teksttreci2"/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. </w:t>
      </w:r>
      <w:proofErr w:type="spellStart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Prior</w:t>
      </w:r>
      <w:proofErr w:type="spellEnd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témpore</w:t>
      </w:r>
      <w:proofErr w:type="spellEnd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potior</w:t>
      </w:r>
      <w:proofErr w:type="spellEnd"/>
      <w:r w:rsidR="00342ED7" w:rsidRPr="00E4235A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 xml:space="preserve"> iure.</w:t>
      </w:r>
    </w:p>
    <w:p w:rsidR="00342ED7" w:rsidRDefault="00342ED7" w:rsidP="00342ED7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sz w:val="28"/>
          <w:szCs w:val="28"/>
        </w:rPr>
      </w:pPr>
      <w:r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  <w:t>Kto lepszy co do czasu, ten lepszy co do prawa.</w:t>
      </w:r>
    </w:p>
    <w:p w:rsidR="00342ED7" w:rsidRDefault="00E4235A" w:rsidP="00342ED7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>5</w:t>
      </w:r>
      <w:r w:rsidR="00342ED7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.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Servítus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in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faciéndo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consístere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nequit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.</w:t>
      </w:r>
    </w:p>
    <w:p w:rsidR="00342ED7" w:rsidRPr="00E4235A" w:rsidRDefault="00342ED7" w:rsidP="00342ED7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sz w:val="28"/>
          <w:szCs w:val="28"/>
        </w:rPr>
      </w:pPr>
      <w:r w:rsidRPr="00E4235A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Służebność nic może polegać na działaniu.</w:t>
      </w:r>
    </w:p>
    <w:p w:rsidR="00342ED7" w:rsidRDefault="00E4235A" w:rsidP="00342ED7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6</w:t>
      </w:r>
      <w:r w:rsidR="00342ED7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Superfícies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solo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cedit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.</w:t>
      </w:r>
    </w:p>
    <w:p w:rsidR="00342ED7" w:rsidRPr="006620E3" w:rsidRDefault="00342ED7" w:rsidP="00342ED7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sz w:val="28"/>
          <w:szCs w:val="28"/>
        </w:rPr>
      </w:pPr>
      <w:r w:rsidRPr="006620E3">
        <w:rPr>
          <w:rStyle w:val="Teksttreci3Bezkursywy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To, co </w:t>
      </w:r>
      <w:r w:rsidRPr="006620E3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znajduje się na gruncie, przypada gruntowi.</w:t>
      </w:r>
    </w:p>
    <w:p w:rsidR="00342ED7" w:rsidRDefault="00E4235A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>7</w:t>
      </w:r>
      <w:r w:rsidR="00342ED7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.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Heréditas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nihil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aliud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est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, quam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succéssio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in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univérsum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ius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, quod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defúnctus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habúerit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.</w:t>
      </w:r>
    </w:p>
    <w:p w:rsidR="00342ED7" w:rsidRDefault="00342ED7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E4235A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Dziedziczenie jest niczym innym, jak wejściem w ogół praw, jakie posiadał zmarły. </w:t>
      </w:r>
    </w:p>
    <w:p w:rsidR="00AF46BC" w:rsidRDefault="00AF46BC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</w:p>
    <w:p w:rsidR="00AF46BC" w:rsidRPr="00E4235A" w:rsidRDefault="00AF46BC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i/>
        </w:rPr>
      </w:pPr>
    </w:p>
    <w:p w:rsidR="00342ED7" w:rsidRPr="00E4235A" w:rsidRDefault="006620E3" w:rsidP="00342ED7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8</w:t>
      </w:r>
      <w:r w:rsidR="00342ED7" w:rsidRPr="00E4235A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Indígno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aufértur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heréditas</w:t>
      </w:r>
      <w:proofErr w:type="spellEnd"/>
      <w:r w:rsidR="00342ED7" w:rsidRPr="00E4235A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.</w:t>
      </w:r>
    </w:p>
    <w:p w:rsidR="00342ED7" w:rsidRPr="00E4235A" w:rsidRDefault="00342ED7" w:rsidP="00342ED7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sz w:val="28"/>
          <w:szCs w:val="28"/>
        </w:rPr>
      </w:pPr>
      <w:r w:rsidRPr="00E4235A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Niegodnemu odbiera się spadek.</w:t>
      </w:r>
    </w:p>
    <w:p w:rsidR="00342ED7" w:rsidRDefault="006620E3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i/>
          <w:sz w:val="28"/>
          <w:szCs w:val="28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9</w:t>
      </w:r>
      <w:r w:rsidR="00342ED7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In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testaméntis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plénius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testatóris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intentiónem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scrutámur</w:t>
      </w:r>
      <w:proofErr w:type="spellEnd"/>
      <w:r w:rsidR="00342ED7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. </w:t>
      </w:r>
    </w:p>
    <w:p w:rsidR="00342ED7" w:rsidRPr="006620E3" w:rsidRDefault="00342ED7" w:rsidP="00342ED7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sz w:val="28"/>
          <w:szCs w:val="28"/>
        </w:rPr>
      </w:pPr>
      <w:r w:rsidRPr="006620E3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W testamentach interpretujemy jak najpełniej wolę spadkodawcy.</w:t>
      </w:r>
    </w:p>
    <w:p w:rsidR="00342ED7" w:rsidRPr="006620E3" w:rsidRDefault="006620E3" w:rsidP="00342ED7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10</w:t>
      </w:r>
      <w:r w:rsidR="00342ED7" w:rsidRPr="006620E3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proofErr w:type="spellStart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Portio</w:t>
      </w:r>
      <w:proofErr w:type="spellEnd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portióni</w:t>
      </w:r>
      <w:proofErr w:type="spellEnd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accrésit</w:t>
      </w:r>
      <w:proofErr w:type="spellEnd"/>
      <w:r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.</w:t>
      </w:r>
    </w:p>
    <w:p w:rsidR="00342ED7" w:rsidRPr="006620E3" w:rsidRDefault="006620E3" w:rsidP="00342ED7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Udział przyrasta do udziału</w:t>
      </w:r>
      <w:r w:rsidR="00342ED7" w:rsidRPr="006620E3"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>.</w:t>
      </w:r>
    </w:p>
    <w:p w:rsidR="00342ED7" w:rsidRDefault="00342ED7" w:rsidP="00342ED7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</w:p>
    <w:p w:rsidR="00342ED7" w:rsidRPr="006620E3" w:rsidRDefault="00342ED7" w:rsidP="00342ED7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6620E3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V. Zobowiązania</w:t>
      </w:r>
    </w:p>
    <w:p w:rsidR="00342ED7" w:rsidRDefault="00342ED7" w:rsidP="00342ED7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</w:p>
    <w:p w:rsidR="00342ED7" w:rsidRDefault="00342ED7" w:rsidP="00342ED7">
      <w:pPr>
        <w:spacing w:after="0"/>
        <w:jc w:val="both"/>
        <w:rPr>
          <w:b/>
          <w:i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Impossibílium nulla obligátio est.</w:t>
      </w:r>
    </w:p>
    <w:p w:rsidR="00342ED7" w:rsidRDefault="00392AC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Zobowiązanie do  wykonania</w:t>
      </w:r>
      <w:r w:rsidR="00342ED7">
        <w:rPr>
          <w:rFonts w:ascii="Times New Roman" w:hAnsi="Times New Roman" w:cs="Times New Roman"/>
          <w:sz w:val="28"/>
          <w:szCs w:val="28"/>
          <w:lang w:val="pl-PL"/>
        </w:rPr>
        <w:t xml:space="preserve"> świadczenia niemożliwego jest nieważne.  </w:t>
      </w:r>
    </w:p>
    <w:p w:rsidR="00342ED7" w:rsidRDefault="009D286D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Umów należy dotrzymywać.</w:t>
      </w:r>
    </w:p>
    <w:p w:rsidR="00342ED7" w:rsidRDefault="009D286D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Convéntio omnis intellégitur rebus sic stántibus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Każda umowa jest pojmowana jako obowiązująca w określonych warunkach. </w:t>
      </w:r>
    </w:p>
    <w:p w:rsidR="00342ED7" w:rsidRDefault="009D286D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</w:rPr>
        <w:t>Contráctus ab inítio voluntátis est, ex post factum necéssitatis.</w:t>
      </w:r>
    </w:p>
    <w:p w:rsidR="009D286D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Zawarcie umowy jest dobrowolne, ale następstwa są przymusowe.</w:t>
      </w:r>
    </w:p>
    <w:p w:rsidR="00342ED7" w:rsidRDefault="009D286D" w:rsidP="00342ED7">
      <w:pPr>
        <w:spacing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Perículum est emptóris.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Ryzyko ponosi nabywca.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42ED7" w:rsidRDefault="00342ED7" w:rsidP="00342ED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VI. Proces cywilny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Actor séquitur forum rei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Powód idzie za sądem pozwanego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Audiátur et áltera pars.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Niech będzie wysłuchana i druga strona.</w:t>
      </w:r>
    </w:p>
    <w:p w:rsidR="00342ED7" w:rsidRDefault="009D286D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42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</w:rPr>
        <w:t>Ei incúmbit probátio, qui dicit, non qui negat</w:t>
      </w:r>
      <w:r w:rsidR="00342ED7">
        <w:rPr>
          <w:rFonts w:ascii="Times New Roman" w:hAnsi="Times New Roman" w:cs="Times New Roman"/>
          <w:b/>
          <w:sz w:val="28"/>
          <w:szCs w:val="28"/>
        </w:rPr>
        <w:t>.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Ciężar dowodu spoczywa na tym, kto twierdzi, a nie na tym, kto zaprzecza.</w:t>
      </w:r>
    </w:p>
    <w:p w:rsidR="00342ED7" w:rsidRDefault="009D286D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Facta probántur,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iura novit curia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Faktów się dowodzi, prawo zna sąd. </w:t>
      </w:r>
    </w:p>
    <w:p w:rsidR="00342ED7" w:rsidRDefault="009D286D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priopria causa.</w:t>
      </w:r>
    </w:p>
    <w:p w:rsidR="00342ED7" w:rsidRDefault="00342ED7" w:rsidP="00342ED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Nikt nie może być sędzią we własnej sprawie.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342ED7" w:rsidRDefault="00BB0E85" w:rsidP="00BB0E85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VII. Prawo karne materialne i procesowe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Accusáre nemo se debet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Nikt nie musi oskarżać samego siebie.</w:t>
      </w:r>
    </w:p>
    <w:p w:rsidR="00392AC7" w:rsidRDefault="00392AC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Bis de éadem ne sit actio.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Nie </w:t>
      </w:r>
      <w:r w:rsidR="00392AC7">
        <w:rPr>
          <w:rFonts w:ascii="Times New Roman" w:hAnsi="Times New Roman" w:cs="Times New Roman"/>
          <w:sz w:val="28"/>
          <w:szCs w:val="28"/>
          <w:lang w:val="pl-PL"/>
        </w:rPr>
        <w:t>wolno procesować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się dwa razy w tej samej sprawie.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Conféssio est regína probatiónum.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Przyznanie się do winy jest królową dowodów.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Conféssus pro iudicáto est.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Ten, kto się przyznał, uważany jest za zasądzonego.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culpa.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kary bez winy.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Nullum crimen sine lege.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przestępstwa bez ustawy.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lege.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kary bez ustawy.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7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reo.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BB0E85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 razie wątpliwości na</w:t>
      </w:r>
      <w:r w:rsidR="00342ED7">
        <w:rPr>
          <w:rFonts w:ascii="Times New Roman" w:hAnsi="Times New Roman" w:cs="Times New Roman"/>
          <w:sz w:val="28"/>
          <w:szCs w:val="28"/>
          <w:lang w:val="pl-PL"/>
        </w:rPr>
        <w:t xml:space="preserve"> korzyść oskarżonego.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en-US"/>
        </w:rPr>
        <w:t>Abséntem in crimínibus damnári non óportet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procesach karnych nie należy skazywać nieobecnego. 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42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42E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Fere in ómnibus poenálibus iudíciis et aetáti et imprudéntiae succúritur</w:t>
      </w:r>
      <w:r w:rsidR="00342E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2ED7">
        <w:rPr>
          <w:rFonts w:ascii="Times New Roman" w:hAnsi="Times New Roman" w:cs="Times New Roman"/>
          <w:sz w:val="28"/>
          <w:szCs w:val="28"/>
          <w:lang w:val="pl-PL"/>
        </w:rPr>
        <w:t>Niemal we wszystkich procesach karnych uwzględnia się tak wiek, jak i brak doświadczenia.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severior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retro non agit.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C675C8" w:rsidRDefault="00C675C8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C675C8" w:rsidRDefault="00C675C8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VIII. Prawo międzynarodowe publiczne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Par in parem non habet iudícium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Równy nie może sądzić równego sobie.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prióri.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Akt późniejszy uchyla moc obowiązującą aktu wcześniejszego.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Pacta tértiis nec nocent nec prosunt.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Umowy ani nie przyznają praw</w:t>
      </w:r>
      <w:r w:rsidR="00712122">
        <w:rPr>
          <w:rFonts w:ascii="Times New Roman" w:hAnsi="Times New Roman" w:cs="Times New Roman"/>
          <w:sz w:val="28"/>
          <w:szCs w:val="28"/>
          <w:lang w:val="pl-PL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l-PL"/>
        </w:rPr>
        <w:t xml:space="preserve"> ani nie nakładają obowiązków na państwa, które nie są ich stronami.</w:t>
      </w:r>
    </w:p>
    <w:p w:rsidR="00342ED7" w:rsidRDefault="00C675C8" w:rsidP="0034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Ne impediátur legátio.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Niech dyplomata nie napotyka przeszkód w wykonywaniu swych czynności. </w:t>
      </w:r>
    </w:p>
    <w:p w:rsidR="00342ED7" w:rsidRDefault="00392AC7" w:rsidP="00342E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42ED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342ED7">
        <w:rPr>
          <w:rFonts w:ascii="Times New Roman" w:hAnsi="Times New Roman" w:cs="Times New Roman"/>
          <w:b/>
          <w:i/>
          <w:sz w:val="28"/>
          <w:szCs w:val="28"/>
          <w:lang w:val="pl-PL"/>
        </w:rPr>
        <w:t>Aut dédere, aut iudicáre.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Albo wydać, albo osądzić.</w:t>
      </w: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42ED7" w:rsidRDefault="00342ED7" w:rsidP="00342ED7">
      <w:pPr>
        <w:jc w:val="both"/>
        <w:rPr>
          <w:rFonts w:ascii="Times New Roman" w:hAnsi="Times New Roman" w:cs="Times New Roman"/>
          <w:lang w:val="pl-PL"/>
        </w:rPr>
      </w:pPr>
    </w:p>
    <w:p w:rsidR="00F06828" w:rsidRDefault="00F06828"/>
    <w:sectPr w:rsidR="00F0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3"/>
    <w:rsid w:val="00342ED7"/>
    <w:rsid w:val="00392AC7"/>
    <w:rsid w:val="006620E3"/>
    <w:rsid w:val="006867FA"/>
    <w:rsid w:val="00712122"/>
    <w:rsid w:val="009D286D"/>
    <w:rsid w:val="00AF46BC"/>
    <w:rsid w:val="00BB0E85"/>
    <w:rsid w:val="00BF3753"/>
    <w:rsid w:val="00C675C8"/>
    <w:rsid w:val="00E4235A"/>
    <w:rsid w:val="00F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E6F4-6742-4127-844D-C9F54CF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ED7"/>
    <w:pPr>
      <w:spacing w:after="200" w:line="276" w:lineRule="auto"/>
    </w:pPr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ED7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42ED7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42ED7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342ED7"/>
    <w:rPr>
      <w:rFonts w:ascii="Palatino Linotype" w:hAnsi="Palatino Linotype" w:cs="Palatino Linotype"/>
      <w:b/>
      <w:bCs/>
      <w:spacing w:val="6"/>
      <w:sz w:val="15"/>
      <w:szCs w:val="15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342ED7"/>
    <w:pPr>
      <w:widowControl w:val="0"/>
      <w:shd w:val="clear" w:color="auto" w:fill="FFFFFF"/>
      <w:spacing w:after="0" w:line="230" w:lineRule="exact"/>
      <w:ind w:firstLine="380"/>
      <w:jc w:val="both"/>
      <w:outlineLvl w:val="2"/>
    </w:pPr>
    <w:rPr>
      <w:rFonts w:ascii="Palatino Linotype" w:hAnsi="Palatino Linotype" w:cs="Palatino Linotype"/>
      <w:b/>
      <w:bCs/>
      <w:noProof w:val="0"/>
      <w:spacing w:val="6"/>
      <w:sz w:val="15"/>
      <w:szCs w:val="15"/>
      <w:lang w:val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42ED7"/>
    <w:rPr>
      <w:rFonts w:ascii="Palatino Linotype" w:hAnsi="Palatino Linotype" w:cs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42ED7"/>
    <w:pPr>
      <w:widowControl w:val="0"/>
      <w:shd w:val="clear" w:color="auto" w:fill="FFFFFF"/>
      <w:spacing w:after="0" w:line="230" w:lineRule="exact"/>
      <w:ind w:hanging="380"/>
      <w:jc w:val="right"/>
    </w:pPr>
    <w:rPr>
      <w:rFonts w:ascii="Palatino Linotype" w:hAnsi="Palatino Linotype" w:cs="Palatino Linotype"/>
      <w:noProof w:val="0"/>
      <w:spacing w:val="6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42ED7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42ED7"/>
    <w:pPr>
      <w:widowControl w:val="0"/>
      <w:shd w:val="clear" w:color="auto" w:fill="FFFFFF"/>
      <w:spacing w:after="0" w:line="227" w:lineRule="exact"/>
      <w:ind w:hanging="420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42ED7"/>
    <w:rPr>
      <w:rFonts w:ascii="Palatino Linotype" w:hAnsi="Palatino Linotype" w:cs="Palatino Linotype"/>
      <w:spacing w:val="5"/>
      <w:sz w:val="15"/>
      <w:szCs w:val="15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342ED7"/>
    <w:pPr>
      <w:widowControl w:val="0"/>
      <w:shd w:val="clear" w:color="auto" w:fill="FFFFFF"/>
      <w:spacing w:before="420" w:after="0" w:line="240" w:lineRule="atLeast"/>
      <w:ind w:firstLine="380"/>
      <w:jc w:val="both"/>
      <w:outlineLvl w:val="1"/>
    </w:pPr>
    <w:rPr>
      <w:rFonts w:ascii="Palatino Linotype" w:hAnsi="Palatino Linotype" w:cs="Palatino Linotype"/>
      <w:noProof w:val="0"/>
      <w:spacing w:val="5"/>
      <w:sz w:val="15"/>
      <w:szCs w:val="15"/>
      <w:lang w:val="pl-PL"/>
    </w:rPr>
  </w:style>
  <w:style w:type="character" w:customStyle="1" w:styleId="apple-converted-space">
    <w:name w:val="apple-converted-space"/>
    <w:basedOn w:val="Domylnaczcionkaakapitu"/>
    <w:rsid w:val="00342ED7"/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uiPriority w:val="99"/>
    <w:rsid w:val="00342ED7"/>
    <w:rPr>
      <w:rFonts w:ascii="Palatino Linotype" w:hAnsi="Palatino Linotype" w:cs="Palatino Linotype"/>
      <w:i/>
      <w:iCs/>
      <w:strike w:val="0"/>
      <w:dstrike w:val="0"/>
      <w:spacing w:val="6"/>
      <w:sz w:val="15"/>
      <w:szCs w:val="15"/>
      <w:u w:val="none"/>
      <w:effect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342ED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C7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Rominkiewicz</dc:creator>
  <cp:keywords/>
  <dc:description/>
  <cp:lastModifiedBy>Jarosław Rominkiewicz</cp:lastModifiedBy>
  <cp:revision>3</cp:revision>
  <cp:lastPrinted>2017-09-26T08:55:00Z</cp:lastPrinted>
  <dcterms:created xsi:type="dcterms:W3CDTF">2017-09-26T07:44:00Z</dcterms:created>
  <dcterms:modified xsi:type="dcterms:W3CDTF">2017-09-27T09:50:00Z</dcterms:modified>
</cp:coreProperties>
</file>