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B" w:rsidRDefault="006733FB" w:rsidP="006733FB">
      <w:pPr>
        <w:pStyle w:val="Tytu"/>
      </w:pPr>
      <w:r>
        <w:t xml:space="preserve">ZAGADNIENIA </w:t>
      </w:r>
      <w:r>
        <w:t>EGZAMINACYJNE</w:t>
      </w:r>
    </w:p>
    <w:p w:rsidR="006733FB" w:rsidRDefault="006733FB" w:rsidP="006733FB">
      <w:pPr>
        <w:spacing w:line="240" w:lineRule="auto"/>
        <w:ind w:firstLine="0"/>
        <w:jc w:val="center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 xml:space="preserve">I rok </w:t>
      </w:r>
    </w:p>
    <w:p w:rsidR="006733FB" w:rsidRDefault="006806B5" w:rsidP="006733FB">
      <w:pPr>
        <w:spacing w:line="240" w:lineRule="auto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20"/>
        </w:rPr>
        <w:t>POLSKI SYSTEM PRAWNY</w:t>
      </w:r>
      <w:bookmarkStart w:id="0" w:name="_GoBack"/>
      <w:bookmarkEnd w:id="0"/>
    </w:p>
    <w:p w:rsidR="006733FB" w:rsidRDefault="006733FB" w:rsidP="006733FB">
      <w:pPr>
        <w:numPr>
          <w:ilvl w:val="12"/>
          <w:numId w:val="0"/>
        </w:numPr>
        <w:spacing w:line="240" w:lineRule="auto"/>
        <w:rPr>
          <w:sz w:val="20"/>
        </w:rPr>
      </w:pPr>
    </w:p>
    <w:p w:rsidR="006733FB" w:rsidRDefault="006733FB" w:rsidP="006733FB">
      <w:pPr>
        <w:numPr>
          <w:ilvl w:val="0"/>
          <w:numId w:val="1"/>
        </w:numPr>
        <w:spacing w:line="240" w:lineRule="auto"/>
        <w:rPr>
          <w:sz w:val="20"/>
        </w:rPr>
        <w:sectPr w:rsidR="006733FB">
          <w:footerReference w:type="even" r:id="rId5"/>
          <w:footerReference w:type="default" r:id="rId6"/>
          <w:pgSz w:w="11907" w:h="16840"/>
          <w:pgMar w:top="1021" w:right="1021" w:bottom="1021" w:left="1021" w:header="708" w:footer="708" w:gutter="0"/>
          <w:cols w:space="708"/>
          <w:titlePg/>
        </w:sectPr>
      </w:pP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lastRenderedPageBreak/>
        <w:t>Pojęcie konstytucyjnych zasad ustroju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Zasady ustroju politycznego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Zasady ustroju społeczno-gospodarczego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Podstawowe elementy zasady demokratycznego państ</w:t>
      </w:r>
      <w:r>
        <w:rPr>
          <w:sz w:val="20"/>
        </w:rPr>
        <w:softHyphen/>
        <w:t>wa prawnego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narodu w obowiązującym prawie konstyt</w:t>
      </w:r>
      <w:r>
        <w:rPr>
          <w:sz w:val="20"/>
        </w:rPr>
        <w:t>u</w:t>
      </w:r>
      <w:r>
        <w:rPr>
          <w:sz w:val="20"/>
        </w:rPr>
        <w:t>cyjnym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Treść prawna zasady zwierzchnictwa narodu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Źródła prawa konstytucyjnego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Funkcje i cechy prawne konstytucji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Przedmiot (materia) konstytucji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Najwyższa moc prawna konstytucji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Samoistne stosowanie konstytucji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Tryb zmiany Konstytucji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Amerykański i europejski system kontroli konstyt</w:t>
      </w:r>
      <w:r>
        <w:rPr>
          <w:sz w:val="20"/>
        </w:rPr>
        <w:t>u</w:t>
      </w:r>
      <w:r>
        <w:rPr>
          <w:sz w:val="20"/>
        </w:rPr>
        <w:t>cyjności prawa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Kompetencje Trybunału Konstytucyjnego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Zakres właściwości Trybunału Konstytucyjnego do orzekania o zgodności prawa z konstytucją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Prawo wniosku do TK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Pytania prawne do TK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Skarga konstytucyjna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Powoływanie sędziów TK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Gwarancje zasady niezawisłości TK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pacing w:val="-4"/>
          <w:sz w:val="20"/>
        </w:rPr>
      </w:pPr>
      <w:r>
        <w:rPr>
          <w:spacing w:val="-4"/>
          <w:sz w:val="20"/>
        </w:rPr>
        <w:t>Podstawowe instytucje demokracji bezpośredniej i ro</w:t>
      </w:r>
      <w:r>
        <w:rPr>
          <w:spacing w:val="-4"/>
          <w:sz w:val="20"/>
        </w:rPr>
        <w:softHyphen/>
        <w:t>dzaje referendum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Referendum wg Konstytucji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Obywatelska inicjatywa ustawodawcza wg Konst</w:t>
      </w:r>
      <w:r>
        <w:rPr>
          <w:sz w:val="20"/>
        </w:rPr>
        <w:t>y</w:t>
      </w:r>
      <w:r>
        <w:rPr>
          <w:sz w:val="20"/>
        </w:rPr>
        <w:t>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pacing w:val="-8"/>
          <w:sz w:val="20"/>
        </w:rPr>
      </w:pPr>
      <w:r>
        <w:rPr>
          <w:spacing w:val="-8"/>
          <w:sz w:val="20"/>
        </w:rPr>
        <w:t>Charakter mandatu posła i senatora wg Konstytucji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Pojęcie </w:t>
      </w:r>
      <w:r>
        <w:rPr>
          <w:sz w:val="20"/>
        </w:rPr>
        <w:t xml:space="preserve">i funkcje </w:t>
      </w:r>
      <w:r>
        <w:rPr>
          <w:sz w:val="20"/>
        </w:rPr>
        <w:t>partii politycznej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podstawowych praw i wolności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praw człowieka i praw obywatelskich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Prawa i wolności konstytucyjne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Zakres podmiotowy praw podstawowych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pacing w:val="-4"/>
          <w:sz w:val="20"/>
        </w:rPr>
      </w:pPr>
      <w:r>
        <w:rPr>
          <w:spacing w:val="-4"/>
          <w:sz w:val="20"/>
        </w:rPr>
        <w:t>Systematyka podstawowych praw obywatelskich w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Ograniczenia praw jednostki w Konstytucji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Prawa polityczne obywateli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prawa wyborczego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pacing w:val="-8"/>
          <w:sz w:val="20"/>
        </w:rPr>
      </w:pPr>
      <w:r>
        <w:rPr>
          <w:spacing w:val="-8"/>
          <w:sz w:val="20"/>
        </w:rPr>
        <w:lastRenderedPageBreak/>
        <w:t>Zasady prawa wyborczego do Sejmu i Senatu (różn</w:t>
      </w:r>
      <w:r>
        <w:rPr>
          <w:spacing w:val="-8"/>
          <w:sz w:val="20"/>
        </w:rPr>
        <w:t>i</w:t>
      </w:r>
      <w:r>
        <w:rPr>
          <w:spacing w:val="-8"/>
          <w:sz w:val="20"/>
        </w:rPr>
        <w:t>ce)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systemu wyborczego i rodzaje systemów wyborczych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pacing w:val="-8"/>
          <w:sz w:val="20"/>
        </w:rPr>
      </w:pPr>
      <w:r>
        <w:rPr>
          <w:spacing w:val="-8"/>
          <w:sz w:val="20"/>
        </w:rPr>
        <w:t>Zgłaszanie kandydatów w wyborach do Sejmu i Se</w:t>
      </w:r>
      <w:r>
        <w:rPr>
          <w:spacing w:val="-8"/>
          <w:sz w:val="20"/>
        </w:rPr>
        <w:softHyphen/>
        <w:t>natu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Weryfikacja wyborów w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Większościowe systemy wyborcze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Proporcjonalne systemy wyborcze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Konstytucyjne obowiązki obywateli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Rzecznik Praw Obywatelskich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obywatelstwa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Sposoby nabycia </w:t>
      </w:r>
      <w:r>
        <w:rPr>
          <w:sz w:val="20"/>
        </w:rPr>
        <w:t xml:space="preserve">i utraty </w:t>
      </w:r>
      <w:r>
        <w:rPr>
          <w:sz w:val="20"/>
        </w:rPr>
        <w:t>obywatelstwa polskiego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Utrata obywatelstwa polskiego</w:t>
      </w:r>
    </w:p>
    <w:p w:rsidR="006733FB" w:rsidRPr="006733FB" w:rsidRDefault="006733FB" w:rsidP="00D17CB1">
      <w:pPr>
        <w:numPr>
          <w:ilvl w:val="0"/>
          <w:numId w:val="2"/>
        </w:numPr>
        <w:spacing w:line="240" w:lineRule="auto"/>
        <w:rPr>
          <w:sz w:val="20"/>
        </w:rPr>
      </w:pPr>
      <w:r w:rsidRPr="006733FB">
        <w:rPr>
          <w:sz w:val="20"/>
        </w:rPr>
        <w:t>Treść zasady podziału władz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Podstawowe różnice między prezydenckim i parl</w:t>
      </w:r>
      <w:r>
        <w:rPr>
          <w:sz w:val="20"/>
        </w:rPr>
        <w:t>a</w:t>
      </w:r>
      <w:r>
        <w:rPr>
          <w:sz w:val="20"/>
        </w:rPr>
        <w:t>mentarnym systemem rządów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Założenia systemu parlamentarno-gabinetowego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System rządów w Konstytucji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Elementy nierównoprawnej pozycji Senatu RP wo</w:t>
      </w:r>
      <w:r>
        <w:rPr>
          <w:sz w:val="20"/>
        </w:rPr>
        <w:softHyphen/>
        <w:t>bec Sejmu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kadencji parlamentu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sesji parlamentu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Zakres immunitetu poselskiego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Niepołączalność mandatu przedstawicielskiego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Organy kierownicze Sejmu (Senatu)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Konwent Seniorów Sejmu (Senatu)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Rodzaje komisji parlamentarnych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prawa inicjatywy ustawodawczej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Podmioty prawa inicjatywy ustawodawczej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Stadia postępowania ustawodawczego w Sejmie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Pilne projekty ustaw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Uprawnienia Senatu w procesie ustawodawczym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Budżet państwa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Postępowanie w Sejmie z projektem ustawy budż</w:t>
      </w:r>
      <w:r>
        <w:rPr>
          <w:sz w:val="20"/>
        </w:rPr>
        <w:t>e</w:t>
      </w:r>
      <w:r>
        <w:rPr>
          <w:sz w:val="20"/>
        </w:rPr>
        <w:t>towej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Absolutorium rządu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Interpelacja posła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Pytania w sprawach bieżących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Zgromadzenie Narodowe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Formy organizacji przedstawicieli w izbach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lastRenderedPageBreak/>
        <w:t>Zakres przedmiotowy ustawy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Autonomia parlamentu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Rodzaje głosowania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Pozycja i funkcje głowy państwa w systemie parl</w:t>
      </w:r>
      <w:r>
        <w:rPr>
          <w:sz w:val="20"/>
        </w:rPr>
        <w:t>a</w:t>
      </w:r>
      <w:r>
        <w:rPr>
          <w:sz w:val="20"/>
        </w:rPr>
        <w:t>mentarno-gabinetowym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Prerogatywy Prezydenta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Pozycja ustrojowa Prezydenta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Zasady i tryb wyboru Prezydenta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Udział Prezydenta RP w procedurze ustawoda</w:t>
      </w:r>
      <w:r>
        <w:rPr>
          <w:sz w:val="20"/>
        </w:rPr>
        <w:t>w</w:t>
      </w:r>
      <w:r>
        <w:rPr>
          <w:sz w:val="20"/>
        </w:rPr>
        <w:t>czej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Akty prawne Prezydenta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Uprawnienia Prezydenta RP wobec Sejmu i S</w:t>
      </w:r>
      <w:r>
        <w:rPr>
          <w:sz w:val="20"/>
        </w:rPr>
        <w:t>e</w:t>
      </w:r>
      <w:r>
        <w:rPr>
          <w:sz w:val="20"/>
        </w:rPr>
        <w:t>natu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Uprawnienia Prezydenta RP wobec rządu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Odpowiedzialność konstytucyjna Prezydenta RP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Powoływanie Rady Ministrów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Zakres działania Rady Ministrów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Akty prawne Rady Ministrów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Rozporządzenie wykonawcze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Prezes Rady Ministrów - pozycja ustrojowa i ko</w:t>
      </w:r>
      <w:r>
        <w:rPr>
          <w:sz w:val="20"/>
        </w:rPr>
        <w:t>m</w:t>
      </w:r>
      <w:r>
        <w:rPr>
          <w:sz w:val="20"/>
        </w:rPr>
        <w:t>petencje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Odpowiedzialność polityczna Rady Ministrów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Pojęcie kontrasygnaty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Odpowiedzialność parlamentarna a odpowiedzia</w:t>
      </w:r>
      <w:r>
        <w:rPr>
          <w:sz w:val="20"/>
        </w:rPr>
        <w:t>l</w:t>
      </w:r>
      <w:r>
        <w:rPr>
          <w:sz w:val="20"/>
        </w:rPr>
        <w:t>ność konstytucyjna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Przesłanki odpowiedzialność konstytucyjnej min</w:t>
      </w:r>
      <w:r>
        <w:rPr>
          <w:sz w:val="20"/>
        </w:rPr>
        <w:t>i</w:t>
      </w:r>
      <w:r>
        <w:rPr>
          <w:sz w:val="20"/>
        </w:rPr>
        <w:t>strów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Skład i sposób powoływania Trybunału Stanu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Najwyższa Izba Kontroli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Kryteria i zakres kontroli NIK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Krajowa Rada Radiofonii i Telewizji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Zasady ustroju sądów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Rodzaje sądów w Polsce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Funkcje Sądu Najwyższego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Krajowa Rada Sądownictwa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Gwarancje niezawisłości sędziów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Treść zasady niezależności sądów</w:t>
      </w:r>
    </w:p>
    <w:p w:rsidR="006733FB" w:rsidRDefault="006733FB" w:rsidP="006733FB">
      <w:pPr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Stany nadzwyczajne w Konstytucji RP</w:t>
      </w:r>
    </w:p>
    <w:p w:rsidR="006733FB" w:rsidRDefault="006733FB" w:rsidP="006733FB">
      <w:pPr>
        <w:spacing w:line="240" w:lineRule="auto"/>
        <w:ind w:left="454" w:firstLine="0"/>
        <w:rPr>
          <w:sz w:val="20"/>
        </w:rPr>
      </w:pPr>
    </w:p>
    <w:p w:rsidR="00952F05" w:rsidRDefault="006806B5"/>
    <w:sectPr w:rsidR="00952F05">
      <w:type w:val="continuous"/>
      <w:pgSz w:w="11907" w:h="16840"/>
      <w:pgMar w:top="1021" w:right="1021" w:bottom="1021" w:left="1021" w:header="708" w:footer="708" w:gutter="0"/>
      <w:cols w:num="2"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55" w:rsidRDefault="006806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955" w:rsidRDefault="00680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55" w:rsidRDefault="006806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3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2955" w:rsidRDefault="006806B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00BC"/>
    <w:multiLevelType w:val="singleLevel"/>
    <w:tmpl w:val="399A4D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689908D3"/>
    <w:multiLevelType w:val="singleLevel"/>
    <w:tmpl w:val="94089512"/>
    <w:lvl w:ilvl="0">
      <w:start w:val="1"/>
      <w:numFmt w:val="decimal"/>
      <w:lvlText w:val="%1."/>
      <w:legacy w:legacy="1" w:legacySpace="170" w:legacyIndent="454"/>
      <w:lvlJc w:val="right"/>
      <w:pPr>
        <w:ind w:left="454" w:hanging="45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B"/>
    <w:rsid w:val="00343D04"/>
    <w:rsid w:val="006733FB"/>
    <w:rsid w:val="006806B5"/>
    <w:rsid w:val="007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5241-B24F-49FF-B339-20C30391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3F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3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733FB"/>
  </w:style>
  <w:style w:type="paragraph" w:styleId="Tytu">
    <w:name w:val="Title"/>
    <w:basedOn w:val="Normalny"/>
    <w:link w:val="TytuZnak"/>
    <w:qFormat/>
    <w:rsid w:val="006733FB"/>
    <w:pPr>
      <w:ind w:firstLine="0"/>
      <w:jc w:val="center"/>
    </w:pPr>
    <w:rPr>
      <w:rFonts w:ascii="Arial" w:hAnsi="Arial"/>
      <w:b/>
      <w:spacing w:val="120"/>
      <w:sz w:val="26"/>
    </w:rPr>
  </w:style>
  <w:style w:type="character" w:customStyle="1" w:styleId="TytuZnak">
    <w:name w:val="Tytuł Znak"/>
    <w:basedOn w:val="Domylnaczcionkaakapitu"/>
    <w:link w:val="Tytu"/>
    <w:rsid w:val="006733FB"/>
    <w:rPr>
      <w:rFonts w:ascii="Arial" w:eastAsia="Times New Roman" w:hAnsi="Arial" w:cs="Times New Roman"/>
      <w:b/>
      <w:spacing w:val="12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Masternak-Kubiak</dc:creator>
  <cp:keywords/>
  <dc:description/>
  <cp:lastModifiedBy>Małgorzata Masternak-Kubiak</cp:lastModifiedBy>
  <cp:revision>2</cp:revision>
  <dcterms:created xsi:type="dcterms:W3CDTF">2016-01-21T12:05:00Z</dcterms:created>
  <dcterms:modified xsi:type="dcterms:W3CDTF">2016-01-21T12:12:00Z</dcterms:modified>
</cp:coreProperties>
</file>