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C0" w:rsidRDefault="000072C6">
      <w:pPr>
        <w:spacing w:after="14"/>
        <w:ind w:left="0" w:right="4" w:firstLine="0"/>
        <w:jc w:val="center"/>
      </w:pPr>
      <w:r>
        <w:rPr>
          <w:b/>
          <w:u w:val="single" w:color="000000"/>
        </w:rPr>
        <w:t>Umowy handlowe w obrocie krajowym i międzynarodowym</w:t>
      </w:r>
    </w:p>
    <w:p w:rsidR="000072C6" w:rsidRDefault="000072C6">
      <w:pPr>
        <w:pStyle w:val="Nagwek1"/>
        <w:ind w:left="-5"/>
      </w:pPr>
    </w:p>
    <w:p w:rsidR="00ED3EC0" w:rsidRDefault="000072C6">
      <w:pPr>
        <w:pStyle w:val="Nagwek1"/>
        <w:ind w:left="-5"/>
      </w:pPr>
      <w:r>
        <w:t>ĆWICZENIA (20 godzin)</w:t>
      </w:r>
    </w:p>
    <w:p w:rsidR="00ED3EC0" w:rsidRDefault="00ED3EC0">
      <w:pPr>
        <w:spacing w:after="52"/>
        <w:ind w:left="0" w:firstLine="0"/>
        <w:jc w:val="left"/>
      </w:pPr>
    </w:p>
    <w:p w:rsidR="00ED3EC0" w:rsidRDefault="000072C6" w:rsidP="000E6BE1">
      <w:pPr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zajęcia wprowadzające </w:t>
      </w:r>
      <w:r w:rsidR="000E6BE1">
        <w:t>(10.10</w:t>
      </w:r>
      <w:bookmarkStart w:id="0" w:name="_GoBack"/>
      <w:bookmarkEnd w:id="0"/>
      <w:r w:rsidR="000E6BE1">
        <w:t>)</w:t>
      </w:r>
    </w:p>
    <w:p w:rsidR="00ED3EC0" w:rsidRDefault="00ED3EC0" w:rsidP="000E6BE1">
      <w:pPr>
        <w:tabs>
          <w:tab w:val="left" w:pos="567"/>
        </w:tabs>
        <w:spacing w:after="35"/>
        <w:ind w:left="0" w:firstLine="0"/>
        <w:jc w:val="left"/>
      </w:pPr>
    </w:p>
    <w:p w:rsidR="00ED3EC0" w:rsidRDefault="000072C6" w:rsidP="000E6BE1">
      <w:pPr>
        <w:numPr>
          <w:ilvl w:val="0"/>
          <w:numId w:val="1"/>
        </w:numPr>
        <w:tabs>
          <w:tab w:val="left" w:pos="567"/>
        </w:tabs>
        <w:spacing w:after="49"/>
        <w:ind w:left="0" w:firstLine="0"/>
      </w:pPr>
      <w:r>
        <w:rPr>
          <w:b/>
        </w:rPr>
        <w:t>umowa o poufności</w:t>
      </w:r>
      <w:r>
        <w:t xml:space="preserve"> (funkcja – po co zawierana, typowe elementy, przykłady) / kara umowna w umowie o poufności (maksymalna wysokość, miarkowanie) / przykładowe orzeczenie sądowe </w:t>
      </w:r>
      <w:r w:rsidR="000E6BE1">
        <w:t>(17.10)</w:t>
      </w:r>
    </w:p>
    <w:p w:rsidR="00ED3EC0" w:rsidRDefault="00ED3EC0" w:rsidP="000E6BE1">
      <w:pPr>
        <w:tabs>
          <w:tab w:val="left" w:pos="567"/>
        </w:tabs>
        <w:spacing w:after="37"/>
        <w:ind w:left="0" w:firstLine="0"/>
        <w:jc w:val="left"/>
      </w:pPr>
    </w:p>
    <w:p w:rsidR="00ED3EC0" w:rsidRDefault="000072C6" w:rsidP="000E6BE1">
      <w:pPr>
        <w:numPr>
          <w:ilvl w:val="0"/>
          <w:numId w:val="1"/>
        </w:numPr>
        <w:tabs>
          <w:tab w:val="left" w:pos="567"/>
        </w:tabs>
        <w:spacing w:after="51"/>
        <w:ind w:left="0" w:firstLine="0"/>
      </w:pPr>
      <w:r>
        <w:rPr>
          <w:b/>
        </w:rPr>
        <w:t>umowa dystrybucyjna</w:t>
      </w:r>
      <w:r>
        <w:t xml:space="preserve"> / umowa dealerska (charakter umowy, porównanie umowy z umową sprzedaży, przykłady z obrotu),</w:t>
      </w:r>
      <w:r w:rsidR="000E6BE1">
        <w:t xml:space="preserve"> przykładowe orzeczenie sądowe (24.10)</w:t>
      </w:r>
    </w:p>
    <w:p w:rsidR="00ED3EC0" w:rsidRDefault="00ED3EC0" w:rsidP="000E6BE1">
      <w:pPr>
        <w:tabs>
          <w:tab w:val="left" w:pos="567"/>
        </w:tabs>
        <w:spacing w:after="14"/>
        <w:ind w:left="0" w:firstLine="0"/>
        <w:jc w:val="left"/>
      </w:pPr>
    </w:p>
    <w:p w:rsidR="00ED3EC0" w:rsidRDefault="000072C6" w:rsidP="000E6BE1">
      <w:pPr>
        <w:numPr>
          <w:ilvl w:val="0"/>
          <w:numId w:val="1"/>
        </w:numPr>
        <w:tabs>
          <w:tab w:val="left" w:pos="567"/>
        </w:tabs>
        <w:spacing w:after="1" w:line="310" w:lineRule="auto"/>
        <w:ind w:left="0" w:firstLine="0"/>
      </w:pPr>
      <w:r>
        <w:rPr>
          <w:b/>
        </w:rPr>
        <w:t>umowa agencyjna w obrocie krajowym</w:t>
      </w:r>
      <w:r>
        <w:rPr>
          <w:u w:val="single" w:color="000000"/>
        </w:rPr>
        <w:t xml:space="preserve"> (wynagrodzenie agenta w czasie trwania umowy i po jejustaniu / agencja wyłączna oraz niewyłączna i obowiązek lojalności stron, </w:t>
      </w:r>
      <w:r>
        <w:t xml:space="preserve">przykładowe orzeczenie sądowe </w:t>
      </w:r>
      <w:r w:rsidR="000E6BE1">
        <w:t>(07.11)</w:t>
      </w:r>
    </w:p>
    <w:p w:rsidR="00ED3EC0" w:rsidRDefault="00ED3EC0" w:rsidP="000E6BE1">
      <w:pPr>
        <w:tabs>
          <w:tab w:val="left" w:pos="567"/>
        </w:tabs>
        <w:spacing w:after="38"/>
        <w:ind w:left="0" w:firstLine="0"/>
        <w:jc w:val="left"/>
      </w:pPr>
    </w:p>
    <w:p w:rsidR="00ED3EC0" w:rsidRDefault="000072C6" w:rsidP="000E6BE1">
      <w:pPr>
        <w:numPr>
          <w:ilvl w:val="0"/>
          <w:numId w:val="1"/>
        </w:numPr>
        <w:tabs>
          <w:tab w:val="left" w:pos="567"/>
        </w:tabs>
        <w:ind w:left="0" w:firstLine="0"/>
      </w:pPr>
      <w:r>
        <w:rPr>
          <w:b/>
        </w:rPr>
        <w:t>umowa o roboty budowlane</w:t>
      </w:r>
      <w:r>
        <w:t xml:space="preserve"> (odpowiedzialność wykonawcy za wady / prawo wykonawcy do żądania zabezpieczenia wynagrodzenia / odpowiedzialność inwestora względem podwykonawcy w zakresie wynagrodzenia), przykładowe orzeczenie sądowe </w:t>
      </w:r>
      <w:r w:rsidR="000E6BE1">
        <w:t>(14.11)</w:t>
      </w:r>
    </w:p>
    <w:p w:rsidR="00ED3EC0" w:rsidRDefault="00ED3EC0" w:rsidP="000E6BE1">
      <w:pPr>
        <w:tabs>
          <w:tab w:val="left" w:pos="567"/>
        </w:tabs>
        <w:spacing w:after="0"/>
        <w:ind w:left="0" w:firstLine="0"/>
        <w:jc w:val="left"/>
      </w:pPr>
    </w:p>
    <w:p w:rsidR="00ED3EC0" w:rsidRDefault="000072C6" w:rsidP="000E6BE1">
      <w:pPr>
        <w:numPr>
          <w:ilvl w:val="0"/>
          <w:numId w:val="1"/>
        </w:numPr>
        <w:tabs>
          <w:tab w:val="left" w:pos="567"/>
        </w:tabs>
        <w:spacing w:after="52"/>
        <w:ind w:left="0" w:firstLine="0"/>
      </w:pPr>
      <w:r>
        <w:rPr>
          <w:b/>
        </w:rPr>
        <w:t>umowa dostawy</w:t>
      </w:r>
      <w:r>
        <w:t xml:space="preserve"> (charakter umowy, porównanie umowy z umową sprzedaży oraz umową o dzieło, przykłady z obrotu), przykładowe orzeczenie sądowe </w:t>
      </w:r>
      <w:r w:rsidR="000E6BE1">
        <w:t>(21.11)</w:t>
      </w:r>
    </w:p>
    <w:p w:rsidR="00ED3EC0" w:rsidRDefault="00ED3EC0" w:rsidP="000E6BE1">
      <w:pPr>
        <w:tabs>
          <w:tab w:val="left" w:pos="567"/>
        </w:tabs>
        <w:spacing w:after="47"/>
        <w:ind w:left="0" w:firstLine="0"/>
        <w:jc w:val="left"/>
      </w:pPr>
    </w:p>
    <w:p w:rsidR="00ED3EC0" w:rsidRDefault="000072C6" w:rsidP="000E6BE1">
      <w:pPr>
        <w:numPr>
          <w:ilvl w:val="0"/>
          <w:numId w:val="1"/>
        </w:numPr>
        <w:tabs>
          <w:tab w:val="left" w:pos="567"/>
        </w:tabs>
        <w:spacing w:after="49"/>
        <w:ind w:left="0" w:firstLine="0"/>
      </w:pPr>
      <w:r>
        <w:rPr>
          <w:b/>
        </w:rPr>
        <w:t>umowa spółki cywilnej, umowa konsorcjum</w:t>
      </w:r>
      <w:r>
        <w:rPr>
          <w:u w:val="single" w:color="000000"/>
        </w:rPr>
        <w:t xml:space="preserve">/ </w:t>
      </w:r>
      <w:r>
        <w:t xml:space="preserve">(charakter umowy, porównanie wzajemne obu umów, przykłady z obrotu), przykładowe orzeczenie sądowe </w:t>
      </w:r>
      <w:r w:rsidR="000E6BE1">
        <w:t>(28.11)</w:t>
      </w:r>
    </w:p>
    <w:p w:rsidR="00ED3EC0" w:rsidRDefault="00ED3EC0" w:rsidP="000E6BE1">
      <w:pPr>
        <w:tabs>
          <w:tab w:val="left" w:pos="567"/>
        </w:tabs>
        <w:spacing w:after="46"/>
        <w:ind w:left="0" w:firstLine="0"/>
        <w:jc w:val="left"/>
      </w:pPr>
    </w:p>
    <w:p w:rsidR="00ED3EC0" w:rsidRDefault="000072C6" w:rsidP="000E6BE1">
      <w:pPr>
        <w:numPr>
          <w:ilvl w:val="0"/>
          <w:numId w:val="1"/>
        </w:numPr>
        <w:tabs>
          <w:tab w:val="left" w:pos="567"/>
        </w:tabs>
        <w:spacing w:after="49"/>
        <w:ind w:left="0" w:firstLine="0"/>
      </w:pPr>
      <w:r>
        <w:rPr>
          <w:b/>
        </w:rPr>
        <w:t>umowa franchisingowa</w:t>
      </w:r>
      <w:r>
        <w:t xml:space="preserve"> (charakter umowy, porównanie wzajemne obu umów, przykłady z obrotu), przykładowe orzeczenie sądowe </w:t>
      </w:r>
      <w:r w:rsidR="000E6BE1">
        <w:t>(05.12)</w:t>
      </w:r>
    </w:p>
    <w:p w:rsidR="00ED3EC0" w:rsidRDefault="00ED3EC0" w:rsidP="000E6BE1">
      <w:pPr>
        <w:tabs>
          <w:tab w:val="left" w:pos="567"/>
        </w:tabs>
        <w:spacing w:after="40"/>
        <w:ind w:left="0" w:firstLine="0"/>
        <w:jc w:val="left"/>
      </w:pPr>
    </w:p>
    <w:p w:rsidR="00ED3EC0" w:rsidRDefault="000072C6" w:rsidP="000E6BE1">
      <w:pPr>
        <w:numPr>
          <w:ilvl w:val="0"/>
          <w:numId w:val="1"/>
        </w:numPr>
        <w:tabs>
          <w:tab w:val="left" w:pos="567"/>
        </w:tabs>
        <w:spacing w:after="21"/>
        <w:ind w:left="0" w:firstLine="0"/>
      </w:pPr>
      <w:r>
        <w:rPr>
          <w:b/>
        </w:rPr>
        <w:t xml:space="preserve">charakterystyka wybranych sądów arbitrażowych </w:t>
      </w:r>
      <w:r w:rsidR="000E6BE1" w:rsidRPr="000E6BE1">
        <w:t>(</w:t>
      </w:r>
      <w:r w:rsidR="000E6BE1">
        <w:t>12.12</w:t>
      </w:r>
      <w:r w:rsidR="000E6BE1" w:rsidRPr="000E6BE1">
        <w:t>)</w:t>
      </w:r>
    </w:p>
    <w:p w:rsidR="00ED3EC0" w:rsidRDefault="00ED3EC0" w:rsidP="000E6BE1">
      <w:pPr>
        <w:tabs>
          <w:tab w:val="left" w:pos="567"/>
        </w:tabs>
        <w:spacing w:after="36"/>
        <w:ind w:left="0" w:firstLine="0"/>
        <w:jc w:val="left"/>
      </w:pPr>
    </w:p>
    <w:p w:rsidR="00ED3EC0" w:rsidRDefault="000072C6" w:rsidP="000E6BE1">
      <w:pPr>
        <w:numPr>
          <w:ilvl w:val="0"/>
          <w:numId w:val="1"/>
        </w:numPr>
        <w:tabs>
          <w:tab w:val="left" w:pos="567"/>
        </w:tabs>
        <w:spacing w:after="1" w:line="310" w:lineRule="auto"/>
        <w:ind w:left="0" w:firstLine="0"/>
      </w:pPr>
      <w:r>
        <w:rPr>
          <w:b/>
        </w:rPr>
        <w:t>Europejskie prawo umów</w:t>
      </w:r>
      <w:r>
        <w:t xml:space="preserve"> / </w:t>
      </w:r>
      <w:r>
        <w:rPr>
          <w:u w:val="single" w:color="000000"/>
        </w:rPr>
        <w:t xml:space="preserve">Wspólne ramy odniesienia </w:t>
      </w:r>
      <w:r>
        <w:rPr>
          <w:i/>
          <w:u w:val="single" w:color="000000"/>
        </w:rPr>
        <w:t xml:space="preserve">draft </w:t>
      </w:r>
      <w:proofErr w:type="spellStart"/>
      <w:r>
        <w:rPr>
          <w:i/>
          <w:u w:val="single" w:color="000000"/>
        </w:rPr>
        <w:t>commonframe</w:t>
      </w:r>
      <w:proofErr w:type="spellEnd"/>
      <w:r>
        <w:rPr>
          <w:i/>
          <w:u w:val="single" w:color="000000"/>
        </w:rPr>
        <w:t xml:space="preserve"> of </w:t>
      </w:r>
      <w:proofErr w:type="spellStart"/>
      <w:r>
        <w:rPr>
          <w:i/>
          <w:u w:val="single" w:color="000000"/>
        </w:rPr>
        <w:t>reference</w:t>
      </w:r>
      <w:r>
        <w:rPr>
          <w:u w:val="single" w:color="000000"/>
        </w:rPr>
        <w:t>–Zasady</w:t>
      </w:r>
      <w:proofErr w:type="spellEnd"/>
      <w:r>
        <w:rPr>
          <w:u w:val="single" w:color="000000"/>
        </w:rPr>
        <w:t xml:space="preserve"> Europejskiego Prawa Kontraktów – porównanie z k.c. / stan aktualny prac</w:t>
      </w:r>
      <w:r w:rsidR="000E6BE1" w:rsidRPr="000E6BE1">
        <w:t>(</w:t>
      </w:r>
      <w:r w:rsidR="000E6BE1">
        <w:t>12.12</w:t>
      </w:r>
      <w:r w:rsidR="000E6BE1" w:rsidRPr="000E6BE1">
        <w:t>)</w:t>
      </w:r>
    </w:p>
    <w:p w:rsidR="00ED3EC0" w:rsidRDefault="00ED3EC0">
      <w:pPr>
        <w:spacing w:after="15"/>
        <w:ind w:left="0" w:firstLine="0"/>
        <w:jc w:val="left"/>
      </w:pPr>
    </w:p>
    <w:p w:rsidR="00ED3EC0" w:rsidRDefault="00ED3EC0" w:rsidP="000072C6">
      <w:pPr>
        <w:spacing w:after="17"/>
        <w:ind w:left="0" w:firstLine="0"/>
        <w:jc w:val="left"/>
      </w:pPr>
    </w:p>
    <w:sectPr w:rsidR="00ED3EC0" w:rsidSect="00AD0344">
      <w:pgSz w:w="11906" w:h="16838"/>
      <w:pgMar w:top="1423" w:right="1414" w:bottom="1789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66311"/>
    <w:multiLevelType w:val="hybridMultilevel"/>
    <w:tmpl w:val="C48A5676"/>
    <w:lvl w:ilvl="0" w:tplc="643838A6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C06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A7F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8F2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2C0D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4E03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DC83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7ABE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C83E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D3EC0"/>
    <w:rsid w:val="000072C6"/>
    <w:rsid w:val="000E6BE1"/>
    <w:rsid w:val="001C4565"/>
    <w:rsid w:val="00AD0344"/>
    <w:rsid w:val="00ED3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344"/>
    <w:pPr>
      <w:spacing w:after="20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AD0344"/>
    <w:pPr>
      <w:keepNext/>
      <w:keepLines/>
      <w:spacing w:after="1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shd w:val="clear" w:color="auto" w:fill="FFFF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D0344"/>
    <w:rPr>
      <w:rFonts w:ascii="Times New Roman" w:eastAsia="Times New Roman" w:hAnsi="Times New Roman" w:cs="Times New Roman"/>
      <w:b/>
      <w:color w:val="000000"/>
      <w:sz w:val="22"/>
      <w:u w:val="single" w:color="000000"/>
      <w:shd w:val="clear" w:color="auto" w:fil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MSI</cp:lastModifiedBy>
  <cp:revision>2</cp:revision>
  <dcterms:created xsi:type="dcterms:W3CDTF">2016-10-13T18:06:00Z</dcterms:created>
  <dcterms:modified xsi:type="dcterms:W3CDTF">2016-10-13T18:06:00Z</dcterms:modified>
</cp:coreProperties>
</file>