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E" w:rsidRPr="008D6016" w:rsidRDefault="00A70181" w:rsidP="008D6016">
      <w:pPr>
        <w:jc w:val="center"/>
        <w:rPr>
          <w:rFonts w:asciiTheme="majorHAnsi" w:hAnsiTheme="majorHAnsi"/>
          <w:b/>
          <w:sz w:val="24"/>
          <w:szCs w:val="24"/>
        </w:rPr>
      </w:pPr>
      <w:r w:rsidRPr="008D6016">
        <w:rPr>
          <w:rFonts w:asciiTheme="majorHAnsi" w:hAnsiTheme="majorHAnsi"/>
          <w:b/>
          <w:sz w:val="24"/>
          <w:szCs w:val="24"/>
        </w:rPr>
        <w:t>ZADANIA LEGLIS</w:t>
      </w:r>
    </w:p>
    <w:p w:rsidR="00A70181" w:rsidRPr="00094BC9" w:rsidRDefault="00A70181" w:rsidP="008D60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94BC9">
        <w:rPr>
          <w:rFonts w:ascii="Cambria" w:hAnsi="Cambria"/>
          <w:b/>
          <w:sz w:val="24"/>
          <w:szCs w:val="24"/>
        </w:rPr>
        <w:t>Znajdź pełną nazwę następujących aktów prawnych, a następnie zapisz je poprawnie bibliograficznie:</w:t>
      </w:r>
    </w:p>
    <w:p w:rsidR="00A70181" w:rsidRPr="008D6016" w:rsidRDefault="00A70181" w:rsidP="008D60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 xml:space="preserve">Kodeks cywilny </w:t>
      </w:r>
    </w:p>
    <w:p w:rsidR="00A70181" w:rsidRPr="008D6016" w:rsidRDefault="00A70181" w:rsidP="008D60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>RODO</w:t>
      </w:r>
    </w:p>
    <w:p w:rsidR="00A70181" w:rsidRPr="008D6016" w:rsidRDefault="00DD45CB" w:rsidP="008D60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>Rozporządzenie Rady Ministrów W Sprawie Profilaktycznych Posiłków I Napojów</w:t>
      </w:r>
    </w:p>
    <w:p w:rsidR="00DD45CB" w:rsidRPr="008D6016" w:rsidRDefault="00DD45CB" w:rsidP="008D60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 xml:space="preserve">Prawo Przedsiębiorców </w:t>
      </w:r>
    </w:p>
    <w:p w:rsidR="00DD45CB" w:rsidRPr="00094BC9" w:rsidRDefault="00DD45CB" w:rsidP="008D60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94BC9">
        <w:rPr>
          <w:rFonts w:ascii="Cambria" w:hAnsi="Cambria"/>
          <w:b/>
          <w:sz w:val="24"/>
          <w:szCs w:val="24"/>
        </w:rPr>
        <w:t>Znajdź autorów i podaj prawidłowy zapis bibliograficzny dla następujących jednostek redakcyjnych:</w:t>
      </w:r>
    </w:p>
    <w:p w:rsidR="00DD45CB" w:rsidRPr="008D6016" w:rsidRDefault="00DD45CB" w:rsidP="008D60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>Art. 535 KC – komentarz red. P. Machnikowski, E. Gniewek</w:t>
      </w:r>
    </w:p>
    <w:p w:rsidR="00DD45CB" w:rsidRPr="008D6016" w:rsidRDefault="00DD45CB" w:rsidP="008D60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>Art. 77</w:t>
      </w:r>
      <w:r w:rsidRPr="008D6016">
        <w:rPr>
          <w:rFonts w:ascii="Cambria" w:hAnsi="Cambria"/>
          <w:sz w:val="24"/>
          <w:szCs w:val="24"/>
          <w:vertAlign w:val="superscript"/>
        </w:rPr>
        <w:t xml:space="preserve">3 </w:t>
      </w:r>
      <w:r w:rsidRPr="008D6016">
        <w:rPr>
          <w:rFonts w:ascii="Cambria" w:hAnsi="Cambria"/>
          <w:sz w:val="24"/>
          <w:szCs w:val="24"/>
        </w:rPr>
        <w:t xml:space="preserve">KC – Komentarz red. J. </w:t>
      </w:r>
      <w:proofErr w:type="spellStart"/>
      <w:r w:rsidRPr="008D6016">
        <w:rPr>
          <w:rFonts w:ascii="Cambria" w:hAnsi="Cambria"/>
          <w:sz w:val="24"/>
          <w:szCs w:val="24"/>
        </w:rPr>
        <w:t>Gołaczyński</w:t>
      </w:r>
      <w:proofErr w:type="spellEnd"/>
      <w:r w:rsidRPr="008D6016">
        <w:rPr>
          <w:rFonts w:ascii="Cambria" w:hAnsi="Cambria"/>
          <w:sz w:val="24"/>
          <w:szCs w:val="24"/>
        </w:rPr>
        <w:t xml:space="preserve">, D. Szostek </w:t>
      </w:r>
    </w:p>
    <w:p w:rsidR="00DD45CB" w:rsidRPr="008D6016" w:rsidRDefault="008D6016" w:rsidP="008D60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 xml:space="preserve">Art. 133 Ordynacji Podatkowej </w:t>
      </w:r>
    </w:p>
    <w:p w:rsidR="008D6016" w:rsidRPr="008D6016" w:rsidRDefault="008D6016" w:rsidP="008D60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D6016">
        <w:rPr>
          <w:rFonts w:ascii="Cambria" w:hAnsi="Cambria"/>
          <w:sz w:val="24"/>
          <w:szCs w:val="24"/>
        </w:rPr>
        <w:t xml:space="preserve">Art. 24 KPK – Komentarz autorów z </w:t>
      </w:r>
      <w:proofErr w:type="spellStart"/>
      <w:r w:rsidRPr="008D6016">
        <w:rPr>
          <w:rFonts w:ascii="Cambria" w:hAnsi="Cambria"/>
          <w:sz w:val="24"/>
          <w:szCs w:val="24"/>
        </w:rPr>
        <w:t>UWr</w:t>
      </w:r>
      <w:proofErr w:type="spellEnd"/>
      <w:r w:rsidRPr="008D6016">
        <w:rPr>
          <w:rFonts w:ascii="Cambria" w:hAnsi="Cambria"/>
          <w:sz w:val="24"/>
          <w:szCs w:val="24"/>
        </w:rPr>
        <w:t xml:space="preserve"> </w:t>
      </w:r>
    </w:p>
    <w:p w:rsidR="008D6016" w:rsidRPr="00094BC9" w:rsidRDefault="008D6016" w:rsidP="008D60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94BC9">
        <w:rPr>
          <w:rFonts w:ascii="Cambria" w:hAnsi="Cambria"/>
          <w:b/>
          <w:sz w:val="24"/>
          <w:szCs w:val="24"/>
        </w:rPr>
        <w:t>Znajdź w Systemie Prawa Prywatnego następujące fragmenty i podaj ich prawidłowy zapis bibliograficzny:</w:t>
      </w:r>
    </w:p>
    <w:p w:rsidR="008D6016" w:rsidRDefault="008D6016" w:rsidP="008D60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Pr="008D6016">
        <w:rPr>
          <w:rFonts w:ascii="Cambria" w:hAnsi="Cambria"/>
          <w:i/>
          <w:sz w:val="24"/>
          <w:szCs w:val="24"/>
        </w:rPr>
        <w:t>W myśl postanowień ustawy „utworem” jest zatem każdy przejaw działalności twórczej o indywidualnym charakterze</w:t>
      </w:r>
      <w:r w:rsidRPr="008D601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</w:t>
      </w:r>
    </w:p>
    <w:p w:rsidR="008D6016" w:rsidRPr="008D6016" w:rsidRDefault="008D6016" w:rsidP="008D60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Pr="008D6016">
        <w:rPr>
          <w:rFonts w:ascii="Cambria" w:hAnsi="Cambria"/>
          <w:i/>
          <w:sz w:val="24"/>
          <w:szCs w:val="24"/>
        </w:rPr>
        <w:t>Bezpodstawne wzbogacenie, podobnie jak czynność prawna oraz czyn niedozwolony, stanowi w polskim prawie prywatnym </w:t>
      </w:r>
      <w:r w:rsidRPr="008D6016">
        <w:rPr>
          <w:rFonts w:ascii="Cambria" w:hAnsi="Cambria"/>
          <w:b/>
          <w:bCs/>
          <w:i/>
          <w:sz w:val="24"/>
          <w:szCs w:val="24"/>
        </w:rPr>
        <w:t>źródło zobowiązania (stosunku obligacyjnego)</w:t>
      </w:r>
      <w:r w:rsidRPr="008D6016">
        <w:rPr>
          <w:rFonts w:ascii="Cambria" w:hAnsi="Cambria"/>
          <w:i/>
          <w:sz w:val="24"/>
          <w:szCs w:val="24"/>
        </w:rPr>
        <w:t>. Precyzyjniej można powiedzieć, że źródłem zobowiązania, którego stronami są </w:t>
      </w:r>
      <w:r w:rsidRPr="008D6016">
        <w:rPr>
          <w:rFonts w:ascii="Cambria" w:hAnsi="Cambria"/>
          <w:b/>
          <w:bCs/>
          <w:i/>
          <w:sz w:val="24"/>
          <w:szCs w:val="24"/>
        </w:rPr>
        <w:t>zubożony (dłużnik) </w:t>
      </w:r>
      <w:r w:rsidRPr="008D6016">
        <w:rPr>
          <w:rFonts w:ascii="Cambria" w:hAnsi="Cambria"/>
          <w:i/>
          <w:sz w:val="24"/>
          <w:szCs w:val="24"/>
        </w:rPr>
        <w:t>oraz </w:t>
      </w:r>
      <w:r w:rsidRPr="008D6016">
        <w:rPr>
          <w:rFonts w:ascii="Cambria" w:hAnsi="Cambria"/>
          <w:b/>
          <w:bCs/>
          <w:i/>
          <w:sz w:val="24"/>
          <w:szCs w:val="24"/>
        </w:rPr>
        <w:t>wzbogacony (wierzyciel)</w:t>
      </w:r>
      <w:r w:rsidRPr="008D6016">
        <w:rPr>
          <w:rFonts w:ascii="Cambria" w:hAnsi="Cambria"/>
          <w:i/>
          <w:sz w:val="24"/>
          <w:szCs w:val="24"/>
        </w:rPr>
        <w:t>, jest uzyskanie bez podstawy prawnej przez wzbogaconego korzyści majątkowej kosztem zubożonego</w:t>
      </w:r>
      <w:hyperlink r:id="rId6" w:tooltip="" w:history="1">
        <w:r w:rsidRPr="008D6016">
          <w:rPr>
            <w:rStyle w:val="Hipercze"/>
            <w:rFonts w:ascii="Cambria" w:hAnsi="Cambria"/>
            <w:i/>
            <w:sz w:val="24"/>
            <w:szCs w:val="24"/>
            <w:vertAlign w:val="superscript"/>
          </w:rPr>
          <w:t>4</w:t>
        </w:r>
      </w:hyperlink>
      <w:r w:rsidRPr="008D6016">
        <w:rPr>
          <w:rFonts w:ascii="Cambria" w:hAnsi="Cambria"/>
          <w:i/>
          <w:sz w:val="24"/>
          <w:szCs w:val="24"/>
        </w:rPr>
        <w:t>. Już na wstępie trzeba zasygnalizować, że szczególnym wypadkiem bezpodstawnego wzbogacenia jest nienależne świadczenie, a dokładniej – uzyskanie przez wzbogaconego świadczenia nienależnego</w:t>
      </w:r>
      <w:hyperlink r:id="rId7" w:tooltip="" w:history="1">
        <w:r w:rsidRPr="008D6016">
          <w:rPr>
            <w:rStyle w:val="Hipercze"/>
            <w:rFonts w:ascii="Cambria" w:hAnsi="Cambria"/>
            <w:i/>
            <w:sz w:val="24"/>
            <w:szCs w:val="24"/>
            <w:vertAlign w:val="superscript"/>
          </w:rPr>
          <w:t>5</w:t>
        </w:r>
      </w:hyperlink>
      <w:r w:rsidRPr="008D6016">
        <w:rPr>
          <w:rFonts w:ascii="Cambria" w:hAnsi="Cambria"/>
          <w:i/>
          <w:sz w:val="24"/>
          <w:szCs w:val="24"/>
        </w:rPr>
        <w:t> od zubożonego</w:t>
      </w:r>
      <w:hyperlink r:id="rId8" w:tooltip="" w:history="1">
        <w:r w:rsidRPr="008D6016">
          <w:rPr>
            <w:rStyle w:val="Hipercze"/>
            <w:rFonts w:ascii="Cambria" w:hAnsi="Cambria"/>
            <w:i/>
            <w:sz w:val="24"/>
            <w:szCs w:val="24"/>
            <w:vertAlign w:val="superscript"/>
          </w:rPr>
          <w:t>6</w:t>
        </w:r>
      </w:hyperlink>
      <w:r w:rsidRPr="008D6016">
        <w:rPr>
          <w:rFonts w:ascii="Cambria" w:hAnsi="Cambria"/>
          <w:i/>
          <w:sz w:val="24"/>
          <w:szCs w:val="24"/>
        </w:rPr>
        <w:t>.”</w:t>
      </w:r>
    </w:p>
    <w:p w:rsidR="008D6016" w:rsidRDefault="008D6016" w:rsidP="008D60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Pr="008D6016">
        <w:rPr>
          <w:rFonts w:ascii="Cambria" w:hAnsi="Cambria"/>
          <w:i/>
          <w:sz w:val="24"/>
          <w:szCs w:val="24"/>
        </w:rPr>
        <w:t>Już w czasach starożytnych funkcjonowała ożywiona wymiana towarowa i dlatego z tego okresu, jak świadczą wykopaliska, pochodzą również produkty z oznaczeniem wskazującym osobę producenta. Używanie oznaczeń dla towarów było rozpowszechnione w całym okresie antycznym</w:t>
      </w:r>
      <w:hyperlink r:id="rId9" w:tooltip="" w:history="1">
        <w:r w:rsidRPr="008D6016">
          <w:rPr>
            <w:rStyle w:val="Hipercze"/>
            <w:rFonts w:ascii="Cambria" w:hAnsi="Cambria"/>
            <w:i/>
            <w:sz w:val="24"/>
            <w:szCs w:val="24"/>
            <w:vertAlign w:val="superscript"/>
          </w:rPr>
          <w:t>81</w:t>
        </w:r>
      </w:hyperlink>
      <w:r w:rsidRPr="008D6016">
        <w:rPr>
          <w:rFonts w:ascii="Cambria" w:hAnsi="Cambria"/>
          <w:i/>
          <w:sz w:val="24"/>
          <w:szCs w:val="24"/>
        </w:rPr>
        <w:t>. Znaki towarowe, być może, były już chronione</w:t>
      </w:r>
      <w:r>
        <w:rPr>
          <w:rFonts w:ascii="Cambria" w:hAnsi="Cambria"/>
          <w:sz w:val="24"/>
          <w:szCs w:val="24"/>
        </w:rPr>
        <w:t>”</w:t>
      </w:r>
    </w:p>
    <w:p w:rsidR="00094BC9" w:rsidRPr="00094BC9" w:rsidRDefault="008D6016" w:rsidP="008D60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94BC9">
        <w:rPr>
          <w:rFonts w:ascii="Cambria" w:hAnsi="Cambria"/>
          <w:b/>
          <w:sz w:val="24"/>
          <w:szCs w:val="24"/>
        </w:rPr>
        <w:t xml:space="preserve">Podaj prawidłowy zapis </w:t>
      </w:r>
      <w:r w:rsidR="00094BC9" w:rsidRPr="00094BC9">
        <w:rPr>
          <w:rFonts w:ascii="Cambria" w:hAnsi="Cambria"/>
          <w:b/>
          <w:sz w:val="24"/>
          <w:szCs w:val="24"/>
        </w:rPr>
        <w:t>najnowszych orzeczeń dotyczących:</w:t>
      </w:r>
    </w:p>
    <w:p w:rsidR="008D6016" w:rsidRDefault="00094BC9" w:rsidP="00094B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SN dla Art. 5 KC, </w:t>
      </w:r>
    </w:p>
    <w:p w:rsidR="00094BC9" w:rsidRDefault="00094BC9" w:rsidP="00094B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TK dla Art. 31 KRP, </w:t>
      </w:r>
    </w:p>
    <w:p w:rsidR="00094BC9" w:rsidRPr="008D6016" w:rsidRDefault="00094BC9" w:rsidP="00094B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SN dla Art. 148 KK </w:t>
      </w:r>
      <w:bookmarkStart w:id="0" w:name="_GoBack"/>
      <w:bookmarkEnd w:id="0"/>
    </w:p>
    <w:sectPr w:rsidR="00094BC9" w:rsidRPr="008D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04"/>
    <w:multiLevelType w:val="hybridMultilevel"/>
    <w:tmpl w:val="0544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D9F"/>
    <w:multiLevelType w:val="hybridMultilevel"/>
    <w:tmpl w:val="85C43192"/>
    <w:lvl w:ilvl="0" w:tplc="50985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D16D1"/>
    <w:multiLevelType w:val="hybridMultilevel"/>
    <w:tmpl w:val="E6D4E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644132"/>
    <w:multiLevelType w:val="hybridMultilevel"/>
    <w:tmpl w:val="586C8C7A"/>
    <w:lvl w:ilvl="0" w:tplc="57F6E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E0A3E"/>
    <w:multiLevelType w:val="hybridMultilevel"/>
    <w:tmpl w:val="28EC394A"/>
    <w:lvl w:ilvl="0" w:tplc="4AC0FDA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1"/>
    <w:rsid w:val="00094BC9"/>
    <w:rsid w:val="0031781E"/>
    <w:rsid w:val="008D6016"/>
    <w:rsid w:val="00A70181"/>
    <w:rsid w:val="00D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4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full.seam?documentId=mjxw62zogi3damjzgq3donzogqxdclrrfy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full.seam?documentId=mjxw62zogi3damjzgq3donzogqxdclrrfy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full.seam?documentId=mjxw62zogi3damjzgq3donzogqxdclrrfy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full.seam?documentId=mjxw62zogi3damjvgq4dkmrogmxdcl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Skibicki</dc:creator>
  <cp:lastModifiedBy>Rafał Skibicki </cp:lastModifiedBy>
  <cp:revision>1</cp:revision>
  <dcterms:created xsi:type="dcterms:W3CDTF">2018-10-29T22:48:00Z</dcterms:created>
  <dcterms:modified xsi:type="dcterms:W3CDTF">2018-10-29T23:12:00Z</dcterms:modified>
</cp:coreProperties>
</file>