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DF" w:rsidRDefault="000066DF" w:rsidP="004A29CC">
      <w:pPr>
        <w:pStyle w:val="HTML-wstpniesformatowany"/>
        <w:ind w:left="900" w:hanging="900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Zagadnienia Egzaminacyjne </w:t>
      </w:r>
    </w:p>
    <w:p w:rsidR="000066DF" w:rsidRDefault="000066DF" w:rsidP="004A29CC">
      <w:pPr>
        <w:pStyle w:val="HTML-wstpniesformatowany"/>
        <w:ind w:left="900" w:hanging="900"/>
        <w:jc w:val="center"/>
        <w:rPr>
          <w:b/>
          <w:bCs/>
          <w:sz w:val="24"/>
        </w:rPr>
      </w:pPr>
      <w:r>
        <w:rPr>
          <w:b/>
          <w:bCs/>
          <w:sz w:val="24"/>
        </w:rPr>
        <w:t>(zaliczenie przedmiotu)</w:t>
      </w:r>
    </w:p>
    <w:p w:rsidR="000066DF" w:rsidRDefault="000066DF" w:rsidP="004A29CC">
      <w:pPr>
        <w:pStyle w:val="HTML-wstpniesformatowany"/>
        <w:ind w:left="900" w:hanging="900"/>
        <w:jc w:val="center"/>
        <w:rPr>
          <w:b/>
          <w:bCs/>
          <w:sz w:val="24"/>
        </w:rPr>
      </w:pPr>
      <w:r>
        <w:rPr>
          <w:b/>
          <w:bCs/>
          <w:sz w:val="24"/>
        </w:rPr>
        <w:t>z podstaw publicznego prawa gospodarczego</w:t>
      </w:r>
    </w:p>
    <w:p w:rsidR="000066DF" w:rsidRDefault="000066DF" w:rsidP="004A29CC">
      <w:pPr>
        <w:pStyle w:val="HTML-wstpniesformatowany"/>
        <w:ind w:left="900" w:hanging="90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Studia Stacjonarne Ekonomii I stopnia V semestr </w:t>
      </w:r>
    </w:p>
    <w:p w:rsidR="000066DF" w:rsidRP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 w:rsidRPr="000066DF">
        <w:rPr>
          <w:sz w:val="24"/>
        </w:rPr>
        <w:t>Poj</w:t>
      </w:r>
      <w:r w:rsidRPr="000066DF">
        <w:rPr>
          <w:rFonts w:hint="eastAsia"/>
          <w:sz w:val="24"/>
        </w:rPr>
        <w:t>ę</w:t>
      </w:r>
      <w:r w:rsidRPr="000066DF">
        <w:rPr>
          <w:sz w:val="24"/>
        </w:rPr>
        <w:t>cie publicznego prawa gospodarczego i jego g</w:t>
      </w:r>
      <w:r w:rsidRPr="000066DF">
        <w:rPr>
          <w:rFonts w:hint="eastAsia"/>
          <w:sz w:val="24"/>
        </w:rPr>
        <w:t>łó</w:t>
      </w:r>
      <w:r w:rsidRPr="000066DF">
        <w:rPr>
          <w:sz w:val="24"/>
        </w:rPr>
        <w:t>wne  obszary.</w:t>
      </w:r>
    </w:p>
    <w:p w:rsid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Prawo publiczne a prawo prywatne w sferze gospodar</w:t>
      </w:r>
      <w:r w:rsidR="00202F39">
        <w:rPr>
          <w:sz w:val="24"/>
        </w:rPr>
        <w:t>ki</w:t>
      </w:r>
      <w:r>
        <w:rPr>
          <w:sz w:val="24"/>
        </w:rPr>
        <w:t>.</w:t>
      </w:r>
    </w:p>
    <w:p w:rsid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Zasady publicznego prawa gospodarczego.</w:t>
      </w:r>
    </w:p>
    <w:p w:rsidR="00202F39" w:rsidRDefault="00202F39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left" w:pos="180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Wolność gospodarcza w prawie polskim i w prawie europejskim.</w:t>
      </w:r>
    </w:p>
    <w:p w:rsidR="00202F39" w:rsidRPr="000066DF" w:rsidRDefault="00202F39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left" w:pos="180"/>
          <w:tab w:val="num" w:pos="900"/>
        </w:tabs>
        <w:ind w:left="851" w:hanging="567"/>
        <w:jc w:val="both"/>
        <w:rPr>
          <w:sz w:val="24"/>
        </w:rPr>
      </w:pPr>
      <w:r w:rsidRPr="000066DF">
        <w:rPr>
          <w:sz w:val="24"/>
        </w:rPr>
        <w:t>Dopuszczalność ograniczeń wolności go</w:t>
      </w:r>
      <w:r>
        <w:rPr>
          <w:sz w:val="24"/>
        </w:rPr>
        <w:t>spodarczej w prawie polskim i w </w:t>
      </w:r>
      <w:r w:rsidRPr="000066DF">
        <w:rPr>
          <w:sz w:val="24"/>
        </w:rPr>
        <w:t xml:space="preserve">prawie europejskim. Ograniczenia przedmiotowe i podmiotowe. </w:t>
      </w:r>
    </w:p>
    <w:p w:rsid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Prawo Unii Europejskiej w obszarze prawa publicznego  gospodarczego.</w:t>
      </w:r>
    </w:p>
    <w:p w:rsid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Podmioty publicznego prawa gospodarczego.</w:t>
      </w:r>
    </w:p>
    <w:p w:rsid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Osoba fizyczna jako podmiot publicznego prawa gospodarczego.</w:t>
      </w:r>
    </w:p>
    <w:p w:rsidR="004A29CC" w:rsidRDefault="004A29CC" w:rsidP="004A29CC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Poj</w:t>
      </w:r>
      <w:r>
        <w:rPr>
          <w:rFonts w:hint="eastAsia"/>
          <w:sz w:val="24"/>
        </w:rPr>
        <w:t>ę</w:t>
      </w:r>
      <w:r>
        <w:rPr>
          <w:sz w:val="24"/>
        </w:rPr>
        <w:t>cie działalności gospodarczej.</w:t>
      </w:r>
    </w:p>
    <w:p w:rsidR="004A29CC" w:rsidRDefault="004A29CC" w:rsidP="004A29CC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Poj</w:t>
      </w:r>
      <w:r>
        <w:rPr>
          <w:rFonts w:hint="eastAsia"/>
          <w:sz w:val="24"/>
        </w:rPr>
        <w:t>ę</w:t>
      </w:r>
      <w:r>
        <w:rPr>
          <w:sz w:val="24"/>
        </w:rPr>
        <w:t>cie przedsi</w:t>
      </w:r>
      <w:r>
        <w:rPr>
          <w:rFonts w:hint="eastAsia"/>
          <w:sz w:val="24"/>
        </w:rPr>
        <w:t>ę</w:t>
      </w:r>
      <w:r>
        <w:rPr>
          <w:sz w:val="24"/>
        </w:rPr>
        <w:t>biorstwa.</w:t>
      </w:r>
    </w:p>
    <w:p w:rsidR="004A29CC" w:rsidRDefault="004A29CC" w:rsidP="004A29CC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Poj</w:t>
      </w:r>
      <w:r>
        <w:rPr>
          <w:rFonts w:hint="eastAsia"/>
          <w:sz w:val="24"/>
        </w:rPr>
        <w:t>ę</w:t>
      </w:r>
      <w:r>
        <w:rPr>
          <w:sz w:val="24"/>
        </w:rPr>
        <w:t>cie przedsi</w:t>
      </w:r>
      <w:r>
        <w:rPr>
          <w:rFonts w:hint="eastAsia"/>
          <w:sz w:val="24"/>
        </w:rPr>
        <w:t>ę</w:t>
      </w:r>
      <w:r>
        <w:rPr>
          <w:sz w:val="24"/>
        </w:rPr>
        <w:t>biorcy i rodzaje przedsi</w:t>
      </w:r>
      <w:r>
        <w:rPr>
          <w:rFonts w:hint="eastAsia"/>
          <w:sz w:val="24"/>
        </w:rPr>
        <w:t>ę</w:t>
      </w:r>
      <w:r>
        <w:rPr>
          <w:sz w:val="24"/>
        </w:rPr>
        <w:t>biorc</w:t>
      </w:r>
      <w:r>
        <w:rPr>
          <w:rFonts w:hint="eastAsia"/>
          <w:sz w:val="24"/>
        </w:rPr>
        <w:t>ó</w:t>
      </w:r>
      <w:r>
        <w:rPr>
          <w:sz w:val="24"/>
        </w:rPr>
        <w:t>w.</w:t>
      </w:r>
    </w:p>
    <w:p w:rsid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Osoby zagraniczne i przedsi</w:t>
      </w:r>
      <w:r>
        <w:rPr>
          <w:rFonts w:hint="eastAsia"/>
          <w:sz w:val="24"/>
        </w:rPr>
        <w:t>ę</w:t>
      </w:r>
      <w:r>
        <w:rPr>
          <w:sz w:val="24"/>
        </w:rPr>
        <w:t>biorcy zagraniczni jako podmioty działalności</w:t>
      </w:r>
    </w:p>
    <w:p w:rsidR="000066DF" w:rsidRDefault="000066DF" w:rsidP="00202F39">
      <w:pPr>
        <w:pStyle w:val="HTML-wstpniesformatowany"/>
        <w:ind w:left="360"/>
        <w:jc w:val="both"/>
        <w:rPr>
          <w:sz w:val="24"/>
        </w:rPr>
      </w:pPr>
      <w:r>
        <w:rPr>
          <w:sz w:val="24"/>
        </w:rPr>
        <w:t xml:space="preserve">         gospodarczej.</w:t>
      </w:r>
    </w:p>
    <w:p w:rsid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Decyzja jako źródło praw i obowiązków przedsi</w:t>
      </w:r>
      <w:r>
        <w:rPr>
          <w:rFonts w:hint="eastAsia"/>
          <w:sz w:val="24"/>
        </w:rPr>
        <w:t>ę</w:t>
      </w:r>
      <w:r>
        <w:rPr>
          <w:sz w:val="24"/>
        </w:rPr>
        <w:t>biorc</w:t>
      </w:r>
      <w:r>
        <w:rPr>
          <w:rFonts w:hint="eastAsia"/>
          <w:sz w:val="24"/>
        </w:rPr>
        <w:t>ó</w:t>
      </w:r>
      <w:r>
        <w:rPr>
          <w:sz w:val="24"/>
        </w:rPr>
        <w:t>w.</w:t>
      </w:r>
    </w:p>
    <w:p w:rsid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Nadz</w:t>
      </w:r>
      <w:r>
        <w:rPr>
          <w:rFonts w:hint="eastAsia"/>
          <w:sz w:val="24"/>
        </w:rPr>
        <w:t>ó</w:t>
      </w:r>
      <w:r>
        <w:rPr>
          <w:sz w:val="24"/>
        </w:rPr>
        <w:t>r administracyjny nad działalnością gospodarczą.</w:t>
      </w:r>
    </w:p>
    <w:p w:rsid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Wpis do rejestru przedsi</w:t>
      </w:r>
      <w:r>
        <w:rPr>
          <w:rFonts w:hint="eastAsia"/>
          <w:sz w:val="24"/>
        </w:rPr>
        <w:t>ę</w:t>
      </w:r>
      <w:r>
        <w:rPr>
          <w:sz w:val="24"/>
        </w:rPr>
        <w:t>biorc</w:t>
      </w:r>
      <w:r>
        <w:rPr>
          <w:rFonts w:hint="eastAsia"/>
          <w:sz w:val="24"/>
        </w:rPr>
        <w:t>ó</w:t>
      </w:r>
      <w:r>
        <w:rPr>
          <w:sz w:val="24"/>
        </w:rPr>
        <w:t>w i jego skutki. Centralna  Ewidencja</w:t>
      </w:r>
    </w:p>
    <w:p w:rsidR="000066DF" w:rsidRDefault="000066DF" w:rsidP="00202F39">
      <w:pPr>
        <w:pStyle w:val="HTML-wstpniesformatowany"/>
        <w:tabs>
          <w:tab w:val="clear" w:pos="916"/>
          <w:tab w:val="num" w:pos="1531"/>
        </w:tabs>
        <w:ind w:left="360"/>
        <w:jc w:val="both"/>
        <w:rPr>
          <w:sz w:val="24"/>
        </w:rPr>
      </w:pPr>
      <w:r>
        <w:rPr>
          <w:sz w:val="24"/>
        </w:rPr>
        <w:t xml:space="preserve">          i Informacja o Działalności Gospodarczej.</w:t>
      </w:r>
    </w:p>
    <w:p w:rsid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 xml:space="preserve">Działalność  gospodarcza regulowana. </w:t>
      </w:r>
    </w:p>
    <w:p w:rsid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Prawne warunki podejmowania i wykonywania działalności gospodarczej.</w:t>
      </w:r>
    </w:p>
    <w:p w:rsid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Poj</w:t>
      </w:r>
      <w:r>
        <w:rPr>
          <w:rFonts w:hint="eastAsia"/>
          <w:sz w:val="24"/>
        </w:rPr>
        <w:t>ę</w:t>
      </w:r>
      <w:r>
        <w:rPr>
          <w:sz w:val="24"/>
        </w:rPr>
        <w:t>cie reglamentacji gospodarczej i jej g</w:t>
      </w:r>
      <w:r>
        <w:rPr>
          <w:rFonts w:hint="eastAsia"/>
          <w:sz w:val="24"/>
        </w:rPr>
        <w:t>łó</w:t>
      </w:r>
      <w:r>
        <w:rPr>
          <w:sz w:val="24"/>
        </w:rPr>
        <w:t>wne obszary.</w:t>
      </w:r>
    </w:p>
    <w:p w:rsid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Instrumenty prawne reglamentacji.</w:t>
      </w:r>
    </w:p>
    <w:p w:rsid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Koncesjonowanie działalności gospodarczej.</w:t>
      </w:r>
    </w:p>
    <w:p w:rsid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Zezwolenie, jako prawna forma dzia</w:t>
      </w:r>
      <w:r>
        <w:rPr>
          <w:rFonts w:hint="eastAsia"/>
          <w:sz w:val="24"/>
        </w:rPr>
        <w:t>ł</w:t>
      </w:r>
      <w:r>
        <w:rPr>
          <w:sz w:val="24"/>
        </w:rPr>
        <w:t>ania administracji gospodarczej.</w:t>
      </w:r>
    </w:p>
    <w:p w:rsid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Akty kwalifikacyjne, jako forma dzia</w:t>
      </w:r>
      <w:r>
        <w:rPr>
          <w:rFonts w:hint="eastAsia"/>
          <w:sz w:val="24"/>
        </w:rPr>
        <w:t>ł</w:t>
      </w:r>
      <w:r>
        <w:rPr>
          <w:sz w:val="24"/>
        </w:rPr>
        <w:t>ania administracji gospodarczej.</w:t>
      </w:r>
    </w:p>
    <w:p w:rsid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Poj</w:t>
      </w:r>
      <w:r>
        <w:rPr>
          <w:rFonts w:hint="eastAsia"/>
          <w:sz w:val="24"/>
        </w:rPr>
        <w:t>ę</w:t>
      </w:r>
      <w:r>
        <w:rPr>
          <w:sz w:val="24"/>
        </w:rPr>
        <w:t>cie policji administracyjnej w gospodarce i jej rodzaje.</w:t>
      </w:r>
    </w:p>
    <w:p w:rsid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Poj</w:t>
      </w:r>
      <w:r>
        <w:rPr>
          <w:rFonts w:hint="eastAsia"/>
          <w:sz w:val="24"/>
        </w:rPr>
        <w:t>ę</w:t>
      </w:r>
      <w:r>
        <w:rPr>
          <w:sz w:val="24"/>
        </w:rPr>
        <w:t>cie i zakres zam</w:t>
      </w:r>
      <w:r>
        <w:rPr>
          <w:rFonts w:hint="eastAsia"/>
          <w:sz w:val="24"/>
        </w:rPr>
        <w:t>ó</w:t>
      </w:r>
      <w:r>
        <w:rPr>
          <w:sz w:val="24"/>
        </w:rPr>
        <w:t>wie</w:t>
      </w:r>
      <w:r>
        <w:rPr>
          <w:rFonts w:hint="eastAsia"/>
          <w:sz w:val="24"/>
        </w:rPr>
        <w:t>ń</w:t>
      </w:r>
      <w:r>
        <w:rPr>
          <w:sz w:val="24"/>
        </w:rPr>
        <w:t xml:space="preserve"> publicznych.</w:t>
      </w:r>
    </w:p>
    <w:p w:rsidR="000066DF" w:rsidRDefault="000066DF" w:rsidP="00202F39">
      <w:pPr>
        <w:pStyle w:val="HTML-wstpniesformatowany"/>
        <w:numPr>
          <w:ilvl w:val="0"/>
          <w:numId w:val="1"/>
        </w:numPr>
        <w:tabs>
          <w:tab w:val="clear" w:pos="916"/>
          <w:tab w:val="clear" w:pos="1531"/>
          <w:tab w:val="num" w:pos="900"/>
        </w:tabs>
        <w:ind w:left="1260" w:hanging="900"/>
        <w:jc w:val="both"/>
        <w:rPr>
          <w:sz w:val="24"/>
        </w:rPr>
      </w:pPr>
      <w:r>
        <w:rPr>
          <w:sz w:val="24"/>
        </w:rPr>
        <w:t>Zasady i tryb udzielania zam</w:t>
      </w:r>
      <w:r>
        <w:rPr>
          <w:rFonts w:hint="eastAsia"/>
          <w:sz w:val="24"/>
        </w:rPr>
        <w:t>ó</w:t>
      </w:r>
      <w:r>
        <w:rPr>
          <w:sz w:val="24"/>
        </w:rPr>
        <w:t>wie</w:t>
      </w:r>
      <w:r>
        <w:rPr>
          <w:rFonts w:hint="eastAsia"/>
          <w:sz w:val="24"/>
        </w:rPr>
        <w:t>ń</w:t>
      </w:r>
      <w:r>
        <w:rPr>
          <w:sz w:val="24"/>
        </w:rPr>
        <w:t xml:space="preserve"> publicznych.</w:t>
      </w:r>
    </w:p>
    <w:p w:rsidR="000066DF" w:rsidRDefault="000066DF" w:rsidP="00202F39">
      <w:pPr>
        <w:pStyle w:val="HTML-wstpniesformatowany"/>
        <w:ind w:left="900" w:hanging="900"/>
        <w:jc w:val="center"/>
        <w:rPr>
          <w:b/>
          <w:bCs/>
          <w:sz w:val="24"/>
        </w:rPr>
      </w:pPr>
    </w:p>
    <w:p w:rsidR="000066DF" w:rsidRDefault="000066DF" w:rsidP="00202F39">
      <w:pPr>
        <w:spacing w:line="240" w:lineRule="auto"/>
      </w:pPr>
    </w:p>
    <w:sectPr w:rsidR="0000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C4EF0"/>
    <w:multiLevelType w:val="hybridMultilevel"/>
    <w:tmpl w:val="2AAE9B80"/>
    <w:lvl w:ilvl="0" w:tplc="FA16D9CA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DF"/>
    <w:rsid w:val="000066DF"/>
    <w:rsid w:val="00202F39"/>
    <w:rsid w:val="004A29CC"/>
    <w:rsid w:val="008242EE"/>
    <w:rsid w:val="008F6222"/>
    <w:rsid w:val="009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ADEB-5E4C-4C8C-A62B-4A26F9BC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006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Arial Unicode MS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0066DF"/>
    <w:rPr>
      <w:rFonts w:ascii="Arial Unicode MS" w:eastAsia="Courier New" w:hAnsi="Arial Unicode MS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Monika Szymkowska-Krauz</cp:lastModifiedBy>
  <cp:revision>2</cp:revision>
  <cp:lastPrinted>2015-11-27T08:50:00Z</cp:lastPrinted>
  <dcterms:created xsi:type="dcterms:W3CDTF">2015-11-27T09:45:00Z</dcterms:created>
  <dcterms:modified xsi:type="dcterms:W3CDTF">2015-11-27T09:45:00Z</dcterms:modified>
</cp:coreProperties>
</file>