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68" w:rsidRPr="001E30D8" w:rsidRDefault="00B82868" w:rsidP="00B82868">
      <w:pPr>
        <w:pStyle w:val="Akapitzlist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bookmarkEnd w:id="0"/>
      <w:r w:rsidRPr="001E30D8">
        <w:rPr>
          <w:rFonts w:ascii="Times New Roman" w:hAnsi="Times New Roman" w:cs="Times New Roman"/>
          <w:b/>
          <w:sz w:val="32"/>
          <w:szCs w:val="28"/>
          <w:u w:val="single"/>
        </w:rPr>
        <w:t>Zagadnienia na obronę dyplomową (licencjat)</w:t>
      </w:r>
    </w:p>
    <w:p w:rsidR="00B82868" w:rsidRDefault="00B82868" w:rsidP="00B82868">
      <w:pPr>
        <w:pStyle w:val="Akapitzlist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E30D8">
        <w:rPr>
          <w:rFonts w:ascii="Times New Roman" w:hAnsi="Times New Roman" w:cs="Times New Roman"/>
          <w:b/>
          <w:sz w:val="32"/>
          <w:szCs w:val="28"/>
          <w:u w:val="single"/>
        </w:rPr>
        <w:t>z przedmiotu kierunkowego: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prawo karne</w:t>
      </w:r>
    </w:p>
    <w:p w:rsidR="00B82868" w:rsidRPr="001E30D8" w:rsidRDefault="00B82868" w:rsidP="00B82868">
      <w:pPr>
        <w:pStyle w:val="Akapitzlist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82868" w:rsidRPr="001E30D8" w:rsidRDefault="00B82868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Obowiązywanie kodeksu karnego co do miejsca i osób</w:t>
      </w:r>
    </w:p>
    <w:p w:rsidR="00B82868" w:rsidRPr="001E30D8" w:rsidRDefault="00B82868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 xml:space="preserve">Niepoczytalność i poczytalność ograniczona </w:t>
      </w:r>
    </w:p>
    <w:p w:rsidR="00B82868" w:rsidRPr="001E30D8" w:rsidRDefault="00B82868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Błąd co do prawa oraz błąd co do ustawowych znamion</w:t>
      </w:r>
    </w:p>
    <w:p w:rsidR="00B82868" w:rsidRPr="001E30D8" w:rsidRDefault="00B82868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Obrona konieczna</w:t>
      </w:r>
    </w:p>
    <w:p w:rsidR="00B82868" w:rsidRPr="001E30D8" w:rsidRDefault="00B82868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Stan wyższej konieczności</w:t>
      </w:r>
    </w:p>
    <w:p w:rsidR="00B82868" w:rsidRPr="001E30D8" w:rsidRDefault="00B82868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Kumulatywny zbieg przepisów ustawy</w:t>
      </w:r>
    </w:p>
    <w:p w:rsidR="00B82868" w:rsidRPr="001E30D8" w:rsidRDefault="00B82868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Przestępstwo ciągłe</w:t>
      </w:r>
    </w:p>
    <w:p w:rsidR="00B82868" w:rsidRPr="001E30D8" w:rsidRDefault="00B82868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Recydywa w kodeksie karnym</w:t>
      </w:r>
    </w:p>
    <w:p w:rsidR="00B82868" w:rsidRPr="001E30D8" w:rsidRDefault="00B82868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Kara grzywny</w:t>
      </w:r>
    </w:p>
    <w:p w:rsidR="00B82868" w:rsidRPr="001E30D8" w:rsidRDefault="00B82868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Kara ograniczenia wolności</w:t>
      </w:r>
    </w:p>
    <w:p w:rsidR="00B82868" w:rsidRPr="001E30D8" w:rsidRDefault="00B82868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Kara pozbawienia wolności</w:t>
      </w:r>
    </w:p>
    <w:p w:rsidR="00B82868" w:rsidRPr="001E30D8" w:rsidRDefault="00B82868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Zakaz prowadzenia pojazdów</w:t>
      </w:r>
    </w:p>
    <w:p w:rsidR="00B82868" w:rsidRPr="001E30D8" w:rsidRDefault="00B82868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Przepadek przedmiotów</w:t>
      </w:r>
    </w:p>
    <w:p w:rsidR="00B82868" w:rsidRPr="001E30D8" w:rsidRDefault="00B82868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Problematyka czynów przepołowionych</w:t>
      </w:r>
    </w:p>
    <w:p w:rsidR="006006DD" w:rsidRPr="00B82868" w:rsidRDefault="00B82868" w:rsidP="00B82868">
      <w:pPr>
        <w:pStyle w:val="Akapitzlist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Postępowanie nakazowe i przyspieszone</w:t>
      </w:r>
    </w:p>
    <w:sectPr w:rsidR="006006DD" w:rsidRPr="00B82868" w:rsidSect="001E3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A0434"/>
    <w:multiLevelType w:val="hybridMultilevel"/>
    <w:tmpl w:val="C212B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68"/>
    <w:rsid w:val="002A4F48"/>
    <w:rsid w:val="003B18A3"/>
    <w:rsid w:val="00416296"/>
    <w:rsid w:val="004D35E9"/>
    <w:rsid w:val="00B31F2C"/>
    <w:rsid w:val="00B57F1A"/>
    <w:rsid w:val="00B82868"/>
    <w:rsid w:val="00C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53C2A-4A06-460F-9F99-7167722C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a.plonska</dc:creator>
  <cp:lastModifiedBy>AP</cp:lastModifiedBy>
  <cp:revision>2</cp:revision>
  <dcterms:created xsi:type="dcterms:W3CDTF">2017-06-06T08:24:00Z</dcterms:created>
  <dcterms:modified xsi:type="dcterms:W3CDTF">2017-06-06T08:24:00Z</dcterms:modified>
</cp:coreProperties>
</file>