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3" w:rsidRDefault="00CA6963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Jan Inwestor, nie będący przedsiębiorcą w rozumieniu ustawy o swobodzie działalności gospodarczej, od wielu lat nabywa pakiety akcji w spółkach akcyjnych zapewniających mu większość głosów na walnych zgromadzeniach tych spółek, których łączny obrót w każdym roku przekracza 60 000 000 Euro na terytorium Polski. Aktualnie Jan Inwestor zainteresowany jest nabyciem 100% akcji spółki X, która od 5 lat sprzedaje swoje wyroby na rynek krajowy (tj. w Polsce), niemniej jej obrót w żadnym roku obrotowym nie przekroczył 1 000 000 Euro. Spółka X posiada od 3 lat większościowe udziały w dwóch spółkach z o.o. z których każda na terytorium Polski, w każdym z tych 3 lat, utrzymuje obroty na poziomie przekraczającym 10 000 000 Euro. Czy konieczne jest w tej sytuacji zgłoszenie do Prezesa UOKiK zamiaru nabycia akcji? Proszę uzasadnić odpowiedź.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A6963" w:rsidRDefault="00CA6963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Marek Sponsor, będący przedsiębiorcą w rozumieniu ustawy o swobodzie działalności gospodarczej, posiada 75% udziałów spółki A, której obroty w każdym roku przekraczają 52 000 000 Euro na terytorium Polski. Spółka A jest właścicielem 90 % akcji spółki B, która od 5 lat sprzedaje swoje wyroby wyłącznie na terytorium Polski, a jej obrót w każdym roku obrotowym przekroczył 10 000 000 Euro. Marek Sponsor jest zainteresowany zakupem od spółki A 50,5% akcji Spółki B. Czy konieczne jest w tej sytuacji zgłoszenie do Prezesa UOKiK zamiaru nabycia akcji? Proszę uzasadnić odpowiedź.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A6963" w:rsidRDefault="00CA6963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Dyrektor Działu Sprzedaży spółki X, będącej producentem okien, w korespondencji elektronicznej z Dyrektorem Działu Marketingu spółki Y, działającej na tym samym rynku produktowym i geograficznym, zawarł następującą propozycję: "W celu podniesienia wyników sprzedaży, od Nowego Roku powinniśmy nie schodzić poniżej ceny 500PLN na podstawowy asortyment." W odpowiedzi na ww. e-mail Dyrektor Działu Marketingu spółki Y odpisał: "Dobry pomysł. Działamy." Proszę ocenić opisane zdarzenie z punktu widzenia ustawy o ochronie konkurencji i konsumentów. Jakie znaczenie miałby fakt, że w praktyce do realizacji uzgodnienia nie doszło?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A6963" w:rsidRDefault="00CA6963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Andrzej Literat zawarł z bankiem umowę kredytową na zakup samochodu, w treści której znalazły się postanowienia wpisane do rejestru postanowień wzorców umowy uznanych za niedozwolone, o którym mowa w art. 47945 Kodeksu postępowania cywilnego. Andrzej Literat zawiadomił o tym fakcie Prezesa Urzędu Ochrony Konkurencji i Konsumentów. Proszę przeanalizować dalszy tryb postępowania w tej sprawie przez Prezesa Urzędu Ochrony Konkurencji i Konsumentów.</w:t>
      </w:r>
    </w:p>
    <w:p w:rsid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A6963" w:rsidRDefault="00CA6963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Proszę omówić zagadnienie porozumień ograniczających konkurencję i kompetencje Prezesa Urzędu Ochrony Konkurencji i Konsumentów w przypadku stwierdzenia naruszenia zakazu ich zawierania, w tym w zakresie nakładania kar pieniężnych. Dyrektor handlowy spółki A na spotkaniu branżowym z dyrektorem ds. marketingu spółki B, działającej na tym samym rynku produktowym i geograficznym, uzgodnił, że działalność handlowa spółki A nie będzie "wkraczała" na teren Polski południowej, będący obszarem szczególnego zainteresowania spółki B, w zamian zaś przedstawiciele spółki B nie będą oferować swoich produktów na terenie Wielkopolski, będącej głównym rynkiem spółki A. Nie zawarto jednak żadnej formalnej umowy. Proszę ocenić opisane zdarzenie z punktu widzenia ustawy o ochronie konkurencji i konsumentów.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  <w:bookmarkStart w:id="0" w:name="_GoBack"/>
      <w:bookmarkEnd w:id="0"/>
    </w:p>
    <w:p w:rsidR="00CA6963" w:rsidRPr="001D62CB" w:rsidRDefault="00CA6963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Proszę omówić, jakie podmioty i przy spełnieniu jakich przesłanek, ponoszą odpowiedzialność z tytułu naruszenia zakazu porozumień ograniczających konkurencję w świetle ustawy o ochronie konkurencji i konsumentów. W sytuacji zawarcia zakazanej zmowy cenowej przez przedsiębiorcę A (sp. z o.o.) oraz przedsiębiorcę B (</w:t>
      </w:r>
      <w:proofErr w:type="spellStart"/>
      <w:r w:rsidRPr="001D62CB">
        <w:rPr>
          <w:rFonts w:ascii="Tahoma" w:hAnsi="Tahoma" w:cs="Tahoma"/>
          <w:color w:val="auto"/>
        </w:rPr>
        <w:t>s.a.</w:t>
      </w:r>
      <w:proofErr w:type="spellEnd"/>
      <w:r w:rsidRPr="001D62CB">
        <w:rPr>
          <w:rFonts w:ascii="Tahoma" w:hAnsi="Tahoma" w:cs="Tahoma"/>
          <w:color w:val="auto"/>
        </w:rPr>
        <w:t>) - na jakie podmioty Prezes UOKIK będzie mógł nałożyć karę pieniężną? W odpowiedzi proszę uwzględnić nowelizację ustawy o ochronie konkurencji i konsumentów, która weszła w życie 18 stycznia 2015 r.</w:t>
      </w:r>
    </w:p>
    <w:p w:rsidR="00BF5ECE" w:rsidRPr="001D62CB" w:rsidRDefault="001D62CB" w:rsidP="001D62CB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BF5ECE" w:rsidRPr="001D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5C5"/>
    <w:multiLevelType w:val="hybridMultilevel"/>
    <w:tmpl w:val="16B46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63"/>
    <w:rsid w:val="001D62CB"/>
    <w:rsid w:val="00496496"/>
    <w:rsid w:val="00927C46"/>
    <w:rsid w:val="00C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A6963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6963"/>
    <w:rPr>
      <w:color w:val="595959" w:themeColor="text1" w:themeTint="A6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A6963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6963"/>
    <w:rPr>
      <w:color w:val="595959" w:themeColor="text1" w:themeTint="A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Danel</dc:creator>
  <cp:lastModifiedBy>Ewelina Danel</cp:lastModifiedBy>
  <cp:revision>2</cp:revision>
  <dcterms:created xsi:type="dcterms:W3CDTF">2015-11-19T09:14:00Z</dcterms:created>
  <dcterms:modified xsi:type="dcterms:W3CDTF">2015-11-20T16:03:00Z</dcterms:modified>
</cp:coreProperties>
</file>