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F3" w:rsidRPr="00A718CF" w:rsidRDefault="00734AF3" w:rsidP="00A718CF">
      <w:pPr>
        <w:spacing w:line="360" w:lineRule="auto"/>
        <w:jc w:val="both"/>
        <w:rPr>
          <w:rFonts w:cs="Times New Roman"/>
        </w:rPr>
      </w:pPr>
      <w:bookmarkStart w:id="0" w:name="_GoBack"/>
      <w:bookmarkEnd w:id="0"/>
    </w:p>
    <w:p w:rsidR="00734AF3" w:rsidRPr="00A718CF" w:rsidRDefault="00734AF3" w:rsidP="00A718CF">
      <w:pPr>
        <w:pStyle w:val="Akapitzlist"/>
        <w:numPr>
          <w:ilvl w:val="0"/>
          <w:numId w:val="1"/>
        </w:numPr>
        <w:spacing w:line="360" w:lineRule="auto"/>
        <w:jc w:val="both"/>
        <w:rPr>
          <w:rFonts w:cs="Times New Roman"/>
        </w:rPr>
      </w:pPr>
      <w:r w:rsidRPr="00A718CF">
        <w:rPr>
          <w:rFonts w:cs="Times New Roman"/>
        </w:rPr>
        <w:t>Wyrok SN z dnia 09.09.1999 r. ( III KKN 704/98 )</w:t>
      </w:r>
    </w:p>
    <w:p w:rsidR="00734AF3" w:rsidRPr="00A718CF" w:rsidRDefault="00734AF3" w:rsidP="00A718CF">
      <w:pPr>
        <w:pStyle w:val="Akapitzlist"/>
        <w:spacing w:line="360" w:lineRule="auto"/>
        <w:jc w:val="both"/>
        <w:rPr>
          <w:rFonts w:cs="Times New Roman"/>
        </w:rPr>
      </w:pPr>
      <w:r w:rsidRPr="00A718CF">
        <w:rPr>
          <w:rFonts w:cs="Times New Roman"/>
        </w:rPr>
        <w:t>Wyjaśnienie różnicy pomiędzy przygotowaniem a usiłowaniem sprowadza się do ustalenia, czy zachowanie sprawcy było abstrakcyjnym czy konkretnym zagrożeniem dla dobra prawnego (…); usiłowanie jest bardziej konkretne niż przygotowanie, a zagrożenie dobra chronionego staje się realne.</w:t>
      </w:r>
    </w:p>
    <w:p w:rsidR="00734AF3" w:rsidRPr="00A718CF" w:rsidRDefault="00734AF3" w:rsidP="00A718CF">
      <w:pPr>
        <w:pStyle w:val="Akapitzlist"/>
        <w:numPr>
          <w:ilvl w:val="0"/>
          <w:numId w:val="1"/>
        </w:numPr>
        <w:spacing w:line="360" w:lineRule="auto"/>
        <w:jc w:val="both"/>
        <w:rPr>
          <w:rFonts w:cs="Times New Roman"/>
        </w:rPr>
      </w:pPr>
      <w:r w:rsidRPr="00A718CF">
        <w:rPr>
          <w:rFonts w:cs="Times New Roman"/>
        </w:rPr>
        <w:t>Wyrok SN z dnia 08.03.2006 r. ( IV KK 415/05 )</w:t>
      </w:r>
    </w:p>
    <w:p w:rsidR="00734AF3" w:rsidRPr="00A718CF" w:rsidRDefault="00734AF3" w:rsidP="00A718CF">
      <w:pPr>
        <w:pStyle w:val="Akapitzlist"/>
        <w:spacing w:line="360" w:lineRule="auto"/>
        <w:jc w:val="both"/>
        <w:rPr>
          <w:rFonts w:cs="Times New Roman"/>
        </w:rPr>
      </w:pPr>
      <w:r w:rsidRPr="00A718CF">
        <w:rPr>
          <w:rFonts w:cs="Times New Roman"/>
        </w:rPr>
        <w:t>Prawo karne nie uzależnia zaistnienia usiłowania od początku wykonania, co oznacza początek realizacji znamion przestępstwa rodzajowego. Wystarczy, że sprawca wykonał pewne czynności, które bezpośrednio zmierzały do dokonania, choćby nie było to jeszcze realizowanie znamion czynu zabronionego przewidzianego w części szczególnej.</w:t>
      </w:r>
    </w:p>
    <w:p w:rsidR="00734AF3" w:rsidRPr="00A718CF" w:rsidRDefault="00734AF3" w:rsidP="00A718CF">
      <w:pPr>
        <w:pStyle w:val="Akapitzlist"/>
        <w:numPr>
          <w:ilvl w:val="0"/>
          <w:numId w:val="1"/>
        </w:numPr>
        <w:spacing w:line="360" w:lineRule="auto"/>
        <w:jc w:val="both"/>
        <w:rPr>
          <w:rFonts w:cs="Times New Roman"/>
        </w:rPr>
      </w:pPr>
      <w:r w:rsidRPr="00A718CF">
        <w:rPr>
          <w:rFonts w:cs="Times New Roman"/>
        </w:rPr>
        <w:t>Postanowienie SN z dnia 28.06.2011 r. ( V KK 33/11 )</w:t>
      </w:r>
    </w:p>
    <w:p w:rsidR="00734AF3" w:rsidRPr="00A718CF" w:rsidRDefault="00734AF3" w:rsidP="00A718CF">
      <w:pPr>
        <w:pStyle w:val="Akapitzlist"/>
        <w:spacing w:line="360" w:lineRule="auto"/>
        <w:jc w:val="both"/>
        <w:rPr>
          <w:rFonts w:cs="Times New Roman"/>
        </w:rPr>
      </w:pPr>
      <w:r w:rsidRPr="00A718CF">
        <w:rPr>
          <w:rFonts w:cs="Times New Roman"/>
        </w:rPr>
        <w:t>Za brak przedmiotu nadającego się do popełnienia na nim czynu zabronionego ( art. 13 § 2 k.k. ) należy uznać brak obiektywny, nie zaś zdyskwalifikowanie przez sprawcę przedmiotu ze względu na nieprzydatność dla niego samego.</w:t>
      </w:r>
    </w:p>
    <w:p w:rsidR="00734AF3" w:rsidRPr="00A718CF" w:rsidRDefault="00734AF3" w:rsidP="00A718CF">
      <w:pPr>
        <w:pStyle w:val="Akapitzlist"/>
        <w:numPr>
          <w:ilvl w:val="0"/>
          <w:numId w:val="1"/>
        </w:numPr>
        <w:spacing w:line="360" w:lineRule="auto"/>
        <w:jc w:val="both"/>
        <w:rPr>
          <w:rFonts w:cs="Times New Roman"/>
        </w:rPr>
      </w:pPr>
      <w:r w:rsidRPr="00A718CF">
        <w:rPr>
          <w:rFonts w:cs="Times New Roman"/>
        </w:rPr>
        <w:t>Postanowienie SN z dnia 16.02.2010 r. ( V KK 354/09 )</w:t>
      </w:r>
    </w:p>
    <w:p w:rsidR="00734AF3" w:rsidRPr="00A718CF" w:rsidRDefault="00734AF3" w:rsidP="00A718CF">
      <w:pPr>
        <w:pStyle w:val="Akapitzlist"/>
        <w:spacing w:line="360" w:lineRule="auto"/>
        <w:jc w:val="both"/>
        <w:rPr>
          <w:rFonts w:cs="Times New Roman"/>
        </w:rPr>
      </w:pPr>
      <w:r w:rsidRPr="00A718CF">
        <w:rPr>
          <w:rFonts w:cs="Times New Roman"/>
        </w:rPr>
        <w:t xml:space="preserve">O usiłowaniu nieudolnym można byłoby mówić wówczas, gdyby w pomieszczeniu suszarni i wózkarni, do których włamał się skazany, w ogóle nie było żadnych przedmiotów, przez co realizacja zamiaru okazałaby się niemożliwa ze względu na brak przedmiotów nadających się do dokonania przestępstwa. Tymczasem z poczynionych w sprawie ustaleń faktycznych, jasno wynika, że nie było tam jedynie przedmiotów wartościowych.     </w:t>
      </w:r>
    </w:p>
    <w:p w:rsidR="00734AF3" w:rsidRPr="00A718CF" w:rsidRDefault="00734AF3" w:rsidP="00A718CF">
      <w:pPr>
        <w:spacing w:line="360" w:lineRule="auto"/>
        <w:jc w:val="both"/>
        <w:rPr>
          <w:rFonts w:cs="Times New Roman"/>
        </w:rPr>
      </w:pPr>
    </w:p>
    <w:p w:rsidR="00221E4D" w:rsidRPr="00A718CF" w:rsidRDefault="00221E4D" w:rsidP="00A718CF">
      <w:pPr>
        <w:spacing w:line="360" w:lineRule="auto"/>
      </w:pPr>
    </w:p>
    <w:sectPr w:rsidR="00221E4D" w:rsidRPr="00A71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8740E"/>
    <w:multiLevelType w:val="hybridMultilevel"/>
    <w:tmpl w:val="6BE6C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F3"/>
    <w:rsid w:val="00221E4D"/>
    <w:rsid w:val="00734AF3"/>
    <w:rsid w:val="00A718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83FBC-874A-451E-82D0-A448D0F2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4AF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34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1252</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Gadzińska</dc:creator>
  <cp:keywords/>
  <dc:description/>
  <cp:lastModifiedBy>Paulina Gadzińska</cp:lastModifiedBy>
  <cp:revision>3</cp:revision>
  <dcterms:created xsi:type="dcterms:W3CDTF">2015-12-17T10:45:00Z</dcterms:created>
  <dcterms:modified xsi:type="dcterms:W3CDTF">2016-01-12T14:11:00Z</dcterms:modified>
</cp:coreProperties>
</file>