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C3" w:rsidRPr="00534DC3" w:rsidRDefault="00534DC3" w:rsidP="0053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Wyrok </w:t>
      </w: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Apelacyjnego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Łodzi z dnia 19 lipca 2001 r.     </w:t>
      </w: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>Aka</w:t>
      </w:r>
      <w:proofErr w:type="spellEnd"/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120/01</w:t>
      </w:r>
    </w:p>
    <w:p w:rsidR="00534DC3" w:rsidRDefault="00534DC3" w:rsidP="0053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Sprawca działa z zamiarem pozbawienia życia pokrzywdzonego wtedy, gdy ma on świadomość możliwości nastąpienia śmierci pokrzywdzonego i na to się godzi, to znaczy wprawdzie nie chce, aby śmierć pokrzywdzonego nastąpiła, ale zarazem nie chce, żeby nie nastąpiła, a więc gdy wykazuje całkowitą obojętność wobec uświadomionej sobie możliwości nastąpienia śmierci pokrzywdzonego.</w:t>
      </w:r>
    </w:p>
    <w:p w:rsidR="00534DC3" w:rsidRPr="00534DC3" w:rsidRDefault="00534DC3" w:rsidP="0053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Sądu Najwyższego - Izba Karna z dnia 31 maja 2007 r.   </w:t>
      </w: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>III KK 31/07</w:t>
      </w:r>
    </w:p>
    <w:p w:rsidR="00534DC3" w:rsidRDefault="00534DC3" w:rsidP="0053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szczególnie okrutne w rozumieniu art. 148 § 2 pkt 1 KK uznać należy również takie zachowanie, które jest podejmowane wobec osoby niezdolnej do odczuwania cierpienia psychicznego (np. nieprzytomnej, pozostającej w głębokim odurzeniu alkoholowym lub narkotycznym) wskutek poniżających wypowiedzi sprawcy, a czasem niezdolnej do odczuwania także i cierpienia fizycznego, których zadanie ofierze objęte było zamiarem sprawcy. </w:t>
      </w:r>
    </w:p>
    <w:p w:rsidR="00534DC3" w:rsidRPr="00534DC3" w:rsidRDefault="00534DC3" w:rsidP="00534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stanowienie Sądu Najwyższego - Izba Karna z dnia 29 maja 2003 r.    </w:t>
      </w: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>III KK 74/03</w:t>
      </w:r>
    </w:p>
    <w:p w:rsidR="00534DC3" w:rsidRPr="00534DC3" w:rsidRDefault="00534DC3" w:rsidP="0053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wykluczyć szczególnych okoliczności, które usprawiedliwiałyby działanie afektywne w stosunku do osób trzecich, jeżeli okoliczności w jakich powstał stan silnego wzburzenia można - z punktu widzenia etycznego i społecznego - uznać za usprawiedliwione. Okoliczności usprawiedliwiające należy oceniać bardzo wnikliwie i wszechstronnie, zwracając szczególną uwagę na przebieg procesów psychicznych i emocjonalnych sprawcy, zachowanie się strony pokrzywdzonej a także jej warunki i właściwości osobiste. </w:t>
      </w:r>
    </w:p>
    <w:p w:rsidR="002369BD" w:rsidRPr="002369BD" w:rsidRDefault="002369BD" w:rsidP="00236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Wyrok Sądu Apelacyjnego w Lublinie z dnia 2 czerwca 1999 r.    </w:t>
      </w:r>
      <w:r w:rsidRPr="0023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2369BD">
        <w:rPr>
          <w:rFonts w:ascii="Times New Roman" w:eastAsia="Times New Roman" w:hAnsi="Times New Roman" w:cs="Times New Roman"/>
          <w:sz w:val="24"/>
          <w:szCs w:val="24"/>
          <w:lang w:eastAsia="pl-PL"/>
        </w:rPr>
        <w:t>AKa</w:t>
      </w:r>
      <w:proofErr w:type="spellEnd"/>
      <w:r w:rsidRPr="0023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24/99</w:t>
      </w:r>
    </w:p>
    <w:p w:rsidR="002369BD" w:rsidRPr="002369BD" w:rsidRDefault="002369BD" w:rsidP="00236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9BD">
        <w:rPr>
          <w:rFonts w:ascii="Times New Roman" w:eastAsia="Times New Roman" w:hAnsi="Times New Roman" w:cs="Times New Roman"/>
          <w:sz w:val="24"/>
          <w:szCs w:val="24"/>
          <w:lang w:eastAsia="pl-PL"/>
        </w:rPr>
        <w:t>"Choroba realnie zagrażająca życiu" może powstawać nie tylko na skutek jednorazowego niebezpiecznego dla życia urazu, ale może też być wynikiem wielu obrażeń, z których każde indywidualnie powoduje naruszenie narządu ciała lub rozstrój zdrowia tylko na okres powyżej 7 dni, a których suma prowadzi do takiego rezultatu.</w:t>
      </w:r>
    </w:p>
    <w:p w:rsidR="00827292" w:rsidRPr="00827292" w:rsidRDefault="00827292" w:rsidP="0082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Sądu Najwyższego - Izba Karna z dnia 6 lutego 2007 r.   </w:t>
      </w:r>
      <w:r w:rsidRPr="00827292">
        <w:rPr>
          <w:rFonts w:ascii="Times New Roman" w:eastAsia="Times New Roman" w:hAnsi="Times New Roman" w:cs="Times New Roman"/>
          <w:sz w:val="24"/>
          <w:szCs w:val="24"/>
          <w:lang w:eastAsia="pl-PL"/>
        </w:rPr>
        <w:t>III KK 254/06</w:t>
      </w:r>
    </w:p>
    <w:p w:rsidR="00827292" w:rsidRDefault="00827292" w:rsidP="00827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Cecha trwałości, o jakiej mowa w dyspozycji art. 156 § 1 pkt 2 KK, musi być oceniana w perspektywie istniejącej w dacie orzekania przez sąd i w świetle poziomu wiedzy, narzędzi i umiejętności dostępnych w tym momencie, a nie z punktu widzenia przyszłych i hipotetycznych możliwości, które mogą nie nastąpić w osiągalnym czasie. </w:t>
      </w: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FA">
        <w:rPr>
          <w:rFonts w:ascii="Times New Roman" w:hAnsi="Times New Roman" w:cs="Times New Roman"/>
          <w:sz w:val="24"/>
          <w:szCs w:val="24"/>
        </w:rPr>
        <w:t>Wyrok SA w Białymstoku z dnia 23.10.2001 r.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45F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4345FA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Pr="004345FA">
        <w:rPr>
          <w:rFonts w:ascii="Times New Roman" w:hAnsi="Times New Roman" w:cs="Times New Roman"/>
          <w:sz w:val="24"/>
          <w:szCs w:val="24"/>
        </w:rPr>
        <w:t xml:space="preserve"> 213/01</w:t>
      </w: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FA">
        <w:rPr>
          <w:rFonts w:ascii="Times New Roman" w:hAnsi="Times New Roman" w:cs="Times New Roman"/>
          <w:sz w:val="24"/>
          <w:szCs w:val="24"/>
        </w:rPr>
        <w:t>Czek może być środkiem płatniczym, a w każdym przypadku jest dokumentem uprawniającym do otrzymania sumy pieniężnej. Kradzież czeku to czyn z art. 278 k.k.</w:t>
      </w:r>
    </w:p>
    <w:p w:rsidR="001E0713" w:rsidRDefault="001E0713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5FA">
        <w:rPr>
          <w:rFonts w:ascii="Times New Roman" w:hAnsi="Times New Roman" w:cs="Times New Roman"/>
          <w:sz w:val="24"/>
          <w:szCs w:val="24"/>
        </w:rPr>
        <w:t xml:space="preserve">Wyrok SN z 27.02.2008 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45FA">
        <w:rPr>
          <w:rFonts w:ascii="Times New Roman" w:hAnsi="Times New Roman" w:cs="Times New Roman"/>
          <w:sz w:val="24"/>
          <w:szCs w:val="24"/>
        </w:rPr>
        <w:t>V KK 397/07</w:t>
      </w:r>
    </w:p>
    <w:p w:rsid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FA">
        <w:rPr>
          <w:rFonts w:ascii="Times New Roman" w:hAnsi="Times New Roman" w:cs="Times New Roman"/>
          <w:sz w:val="24"/>
          <w:szCs w:val="24"/>
        </w:rPr>
        <w:t>Gaz ziemny nie jest energią, ale cudzą rzeczą ruchomą w rozumieniu art. 278 § 1 k.k.</w:t>
      </w:r>
    </w:p>
    <w:p w:rsid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5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Wyrok SN z dnia 9.09.2004 r. V KK 144/04</w:t>
      </w: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Kradzież roweru połączonego kłódką lub obejmą z jakimś trwałym urządzeniem nie wypełnia znamion typu kradzieży z włamaniem </w:t>
      </w: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5FA">
        <w:rPr>
          <w:rFonts w:ascii="Times New Roman" w:hAnsi="Times New Roman" w:cs="Times New Roman"/>
          <w:color w:val="000000" w:themeColor="text1"/>
          <w:sz w:val="24"/>
          <w:szCs w:val="24"/>
        </w:rPr>
        <w:t>Postanowienie SN z dnia 6.12.2006 r. III KK 358/06</w:t>
      </w:r>
    </w:p>
    <w:p w:rsid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5FA">
        <w:rPr>
          <w:rFonts w:ascii="Times New Roman" w:hAnsi="Times New Roman" w:cs="Times New Roman"/>
          <w:color w:val="000000" w:themeColor="text1"/>
          <w:sz w:val="24"/>
          <w:szCs w:val="24"/>
        </w:rPr>
        <w:t>Zabór w celu przywłaszczenia samochodu znajdującego się na otwartej przestrzeni, po uprzednim usunięciu zabezpieczenia uniemożliwiającego dostanie się do jego wnętrza wyczerpuje znamiona kradzieży z włamaniem.</w:t>
      </w:r>
    </w:p>
    <w:p w:rsidR="001E0713" w:rsidRPr="001E0713" w:rsidRDefault="001E0713" w:rsidP="001E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t>Wyrok SN z 13.05.2008 r. IV KK 489/07</w:t>
      </w:r>
    </w:p>
    <w:p w:rsidR="001E0713" w:rsidRPr="001E0713" w:rsidRDefault="001E0713" w:rsidP="001E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t>Posłużenie przez sprawcę jednym z wymienionych w art. 280 k.k. sposobów oddziaływania na osobę musi mieć miejsce przed lub co najmniej w chwili dokonywania zaboru.</w:t>
      </w:r>
    </w:p>
    <w:p w:rsidR="001E0713" w:rsidRPr="001E0713" w:rsidRDefault="001E0713" w:rsidP="001E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t>Postanowienie SN z 15.12.2006 r. II KK 208/06</w:t>
      </w:r>
    </w:p>
    <w:p w:rsidR="001E0713" w:rsidRPr="001E0713" w:rsidRDefault="001E0713" w:rsidP="001E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t>Aby można było mówić, że zachowanie sprawcy działającego w inny sposób bezpośrednio zagrażający życiu  wypełnia dyspozycję z art. 280 k.k. niezbędne jest wykazanie że na skutek tego działania życie pokrzywdzonego było realnie i faktycznie zagrożone a sprawca stworzył swoim działaniem konkretne i bezpośrednie zagrożenie dla życia pokrzywdzonego.</w:t>
      </w:r>
    </w:p>
    <w:p w:rsidR="001E0713" w:rsidRPr="001E0713" w:rsidRDefault="001E0713" w:rsidP="001E0713">
      <w:pPr>
        <w:tabs>
          <w:tab w:val="center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t>Postanowienie SN 29.05.2003 r. I KZP 13/03</w:t>
      </w:r>
      <w:r w:rsidRPr="001E0713">
        <w:rPr>
          <w:rFonts w:ascii="Times New Roman" w:hAnsi="Times New Roman" w:cs="Times New Roman"/>
          <w:sz w:val="24"/>
          <w:szCs w:val="24"/>
        </w:rPr>
        <w:tab/>
      </w:r>
    </w:p>
    <w:p w:rsidR="001E0713" w:rsidRPr="001E0713" w:rsidRDefault="001E0713" w:rsidP="001E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t xml:space="preserve">Przy dokonywaniu oceny niebezpieczności przedmiotu  punktu widzenia kwalifikacji prawnej z art. 280 k.k. istotne znaczenie będą miały takie właściwości przedmiotu, które sprawią że wykorzystanie jego zwykłych funkcji lub działania przedmiotu przeciwko człowiekowi spowoduje powstanie realnego zagrożenia o równowartości odpowiadającej użyciu broni palnej lub noża. </w:t>
      </w:r>
    </w:p>
    <w:p w:rsidR="001E0713" w:rsidRPr="004345FA" w:rsidRDefault="001E0713" w:rsidP="004345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5FA" w:rsidRPr="004345FA" w:rsidRDefault="004345FA" w:rsidP="00434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FA" w:rsidRPr="00827292" w:rsidRDefault="004345FA" w:rsidP="00827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DC3" w:rsidRPr="00534DC3" w:rsidRDefault="00534DC3" w:rsidP="0053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DC3" w:rsidRPr="00534DC3" w:rsidRDefault="00534DC3" w:rsidP="0053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9DC" w:rsidRDefault="002A69DC"/>
    <w:sectPr w:rsidR="002A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E"/>
    <w:rsid w:val="00183810"/>
    <w:rsid w:val="001E0713"/>
    <w:rsid w:val="002369BD"/>
    <w:rsid w:val="002A69DC"/>
    <w:rsid w:val="0031700E"/>
    <w:rsid w:val="004345FA"/>
    <w:rsid w:val="00534DC3"/>
    <w:rsid w:val="008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3A0F-A61F-4BFB-B55A-CA405DF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Gadzińska</dc:creator>
  <cp:keywords/>
  <dc:description/>
  <cp:lastModifiedBy>Paulina Gadzińska</cp:lastModifiedBy>
  <cp:revision>3</cp:revision>
  <dcterms:created xsi:type="dcterms:W3CDTF">2015-11-17T09:33:00Z</dcterms:created>
  <dcterms:modified xsi:type="dcterms:W3CDTF">2015-11-17T11:40:00Z</dcterms:modified>
</cp:coreProperties>
</file>