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558" w:rsidRPr="00103558" w:rsidRDefault="00103558" w:rsidP="00103558">
      <w:pPr>
        <w:spacing w:before="100" w:beforeAutospacing="1" w:after="100" w:afterAutospacing="1" w:line="240" w:lineRule="auto"/>
        <w:jc w:val="both"/>
        <w:rPr>
          <w:rFonts w:eastAsia="Times New Roman" w:cs="Times New Roman"/>
          <w:sz w:val="18"/>
          <w:szCs w:val="18"/>
          <w:lang w:eastAsia="pl-PL"/>
        </w:rPr>
      </w:pPr>
      <w:r w:rsidRPr="00103558">
        <w:rPr>
          <w:rFonts w:eastAsia="Times New Roman" w:cs="Times New Roman"/>
          <w:sz w:val="18"/>
          <w:szCs w:val="18"/>
          <w:lang w:eastAsia="pl-PL"/>
        </w:rPr>
        <w:t>Wyrok Sądu Najwyższego - Izba Karna z dnia 19 kwietnia 1982 r.    II KR 67/82</w:t>
      </w:r>
      <w:bookmarkStart w:id="0" w:name="_GoBack"/>
      <w:bookmarkEnd w:id="0"/>
    </w:p>
    <w:p w:rsidR="00103558" w:rsidRPr="00103558" w:rsidRDefault="00103558" w:rsidP="00103558">
      <w:pPr>
        <w:spacing w:before="100" w:beforeAutospacing="1" w:after="100" w:afterAutospacing="1" w:line="240" w:lineRule="auto"/>
        <w:jc w:val="both"/>
        <w:rPr>
          <w:rFonts w:eastAsia="Times New Roman" w:cs="Times New Roman"/>
          <w:sz w:val="18"/>
          <w:szCs w:val="18"/>
          <w:lang w:eastAsia="pl-PL"/>
        </w:rPr>
      </w:pPr>
      <w:r w:rsidRPr="00103558">
        <w:rPr>
          <w:rFonts w:eastAsia="Times New Roman" w:cs="Times New Roman"/>
          <w:sz w:val="18"/>
          <w:szCs w:val="18"/>
          <w:lang w:eastAsia="pl-PL"/>
        </w:rPr>
        <w:t>Miarą dopuszczalności obrony koniecznej jest nie tylko jej konieczność, ale także podjęcie takich działań obronnych i użycie takich środków, które nie wykraczają poza granice rzeczywistej potrzeby podyktowanej danymi okolicznościami. Podjęta obrona musi być bowiem współmierna do niebezpieczeństwa zamachu. Proporcjonalność tę oceniać należy na płaszczyźnie zagrożenia dobra atakowanego, istniejącego w momencie jego atakowania przez osobę wykonującą zamach, oraz skutków wynikłych z odpierania zamachu.</w:t>
      </w:r>
    </w:p>
    <w:p w:rsidR="00103558" w:rsidRPr="00103558" w:rsidRDefault="00103558" w:rsidP="00103558">
      <w:pPr>
        <w:spacing w:before="100" w:beforeAutospacing="1" w:after="100" w:afterAutospacing="1" w:line="240" w:lineRule="auto"/>
        <w:jc w:val="both"/>
        <w:rPr>
          <w:rFonts w:eastAsia="Times New Roman" w:cs="Times New Roman"/>
          <w:sz w:val="18"/>
          <w:szCs w:val="18"/>
          <w:lang w:eastAsia="pl-PL"/>
        </w:rPr>
      </w:pPr>
      <w:r w:rsidRPr="00103558">
        <w:rPr>
          <w:rFonts w:eastAsia="Times New Roman" w:cs="Times New Roman"/>
          <w:sz w:val="18"/>
          <w:szCs w:val="18"/>
          <w:lang w:eastAsia="pl-PL"/>
        </w:rPr>
        <w:t>Wyrok Sądu Najwyższego - Izba Karna z dnia 4 lutego 1972 r.    IV KR 337/71</w:t>
      </w:r>
    </w:p>
    <w:p w:rsidR="00103558" w:rsidRPr="00103558" w:rsidRDefault="00103558" w:rsidP="00103558">
      <w:pPr>
        <w:spacing w:before="100" w:beforeAutospacing="1" w:after="100" w:afterAutospacing="1" w:line="240" w:lineRule="auto"/>
        <w:jc w:val="both"/>
        <w:rPr>
          <w:rFonts w:eastAsia="Times New Roman" w:cs="Times New Roman"/>
          <w:sz w:val="18"/>
          <w:szCs w:val="18"/>
          <w:lang w:eastAsia="pl-PL"/>
        </w:rPr>
      </w:pPr>
      <w:r w:rsidRPr="00103558">
        <w:rPr>
          <w:rFonts w:eastAsia="Times New Roman" w:cs="Times New Roman"/>
          <w:sz w:val="18"/>
          <w:szCs w:val="18"/>
          <w:lang w:eastAsia="pl-PL"/>
        </w:rPr>
        <w:t xml:space="preserve">Osoba napadnięta nie ma obowiązku ani ratowania się ucieczką, ani ukrywania się przed napastnikiem w zamkniętym pomieszczeniu, ani też znoszenia napaści ograniczającej jego swobodę, lecz ma prawo odpierać zamach wszelkimi dostępnymi środkami, które są konieczne do zmuszenia napastnika do odstąpienia od kontynuowania zamachu. Wprawdzie w obronie koniecznej - w przeciwieństwie do stanu wyższej konieczności - zasada proporcjonalności dóbr nie obowiązuje, jednakże dla odparcia zamachu można stosować tylko takie środki, które w konkretnej sytuacji są konieczne. </w:t>
      </w:r>
    </w:p>
    <w:p w:rsidR="00103558" w:rsidRPr="00103558" w:rsidRDefault="00103558" w:rsidP="00103558">
      <w:pPr>
        <w:spacing w:before="100" w:beforeAutospacing="1" w:after="100" w:afterAutospacing="1" w:line="240" w:lineRule="auto"/>
        <w:jc w:val="both"/>
        <w:rPr>
          <w:rFonts w:eastAsia="Times New Roman" w:cs="Times New Roman"/>
          <w:sz w:val="18"/>
          <w:szCs w:val="18"/>
          <w:lang w:eastAsia="pl-PL"/>
        </w:rPr>
      </w:pPr>
      <w:r w:rsidRPr="00103558">
        <w:rPr>
          <w:rFonts w:eastAsia="Times New Roman" w:cs="Times New Roman"/>
          <w:sz w:val="18"/>
          <w:szCs w:val="18"/>
          <w:lang w:eastAsia="pl-PL"/>
        </w:rPr>
        <w:t>Wyrok Sądu Najwyższego - Izba Karna z dnia 25 maja 1975 r.    II KR 372/74</w:t>
      </w:r>
    </w:p>
    <w:p w:rsidR="00103558" w:rsidRDefault="00103558" w:rsidP="00103558">
      <w:pPr>
        <w:spacing w:before="100" w:beforeAutospacing="1" w:after="100" w:afterAutospacing="1" w:line="240" w:lineRule="auto"/>
        <w:jc w:val="both"/>
        <w:rPr>
          <w:rFonts w:eastAsia="Times New Roman" w:cs="Times New Roman"/>
          <w:sz w:val="18"/>
          <w:szCs w:val="18"/>
          <w:lang w:eastAsia="pl-PL"/>
        </w:rPr>
      </w:pPr>
      <w:r w:rsidRPr="00103558">
        <w:rPr>
          <w:rFonts w:eastAsia="Times New Roman" w:cs="Times New Roman"/>
          <w:sz w:val="18"/>
          <w:szCs w:val="18"/>
          <w:lang w:eastAsia="pl-PL"/>
        </w:rPr>
        <w:t>Z instytucji obrony koniecznej wynika, iż powinna być ona objęta w taki sposób i takimi środkami, jakie są w konkretnej sytuacji niezbędne dla odparcia zamachu. Oznacza to jednak, że z możliwych przy zaatakowaniu środków i sposobów obrony, pierwszeństwo mają środki najłagodniejsze spośród skutecznych. Dysproporcja więc użytych - do innych rokujących skuteczność środków obrony, będzie przekroczeniem jej granic. Oskarżony nie usiłował uniknąć w drodze uprzedzenia napastnika i spowodowania zlikwidowania jego agresywności - o zamiarze użycia w odpieraniu ataku noża. Takie uprzedzenie mogło z dużym prawdopodobieństwem zapobiec napaści i nie dopuścić do konfliktu. Oskarżony miał na to czas, gdyż do zajścia nie doszło w sposób nagły i niespodziewany. Oskarżony winien był poprzestać na pierwszej i skutecznej fazie obrony, gdyż trudno przyjąć, aby agresor po otrzymaniu dwóch ran ciętych twarzy nie był pokrwawiony, natomiast intensywność działania oskarżonego przejawiała się w dążeniu do całkowitego unicestwienia przeciwnika. Mając na względzie taką ocenę środków obrony i jej intensywność, opartą na obiektywnych kryteriach z uwzględnieniem konkretnej sytuacji, a nadto, że oskarżony pozostawił własnemu losowi unicestwionego przeciwnika w wyludnionym o późnej porze miejscu, bez możliwości zapewnienia pomocy lekarskiej, Sąd Najwyższy nie podzielił poglądu rewizji, że zachodzi tu obrona konieczna.</w:t>
      </w:r>
      <w:r>
        <w:rPr>
          <w:rFonts w:eastAsia="Times New Roman" w:cs="Times New Roman"/>
          <w:sz w:val="18"/>
          <w:szCs w:val="18"/>
          <w:lang w:eastAsia="pl-PL"/>
        </w:rPr>
        <w:t xml:space="preserve">     </w:t>
      </w:r>
      <w:r w:rsidRPr="00103558">
        <w:rPr>
          <w:rFonts w:eastAsia="Times New Roman" w:cs="Times New Roman"/>
          <w:sz w:val="18"/>
          <w:szCs w:val="18"/>
          <w:lang w:eastAsia="pl-PL"/>
        </w:rPr>
        <w:t>Natomiast podjąć należało rozważanie w niedostatecznym stopniu analizowane przez Sąd Wojewódzki co do przekroczenia granic obrony koniecznej. Pomimo jej odrzucenia przez Sąd pierwszej instancji, Sąd Najwyższy przyjął, że po stronie oskarżonego okoliczność taka zachodziła.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103558" w:rsidRPr="00103558" w:rsidTr="0016288C">
        <w:trPr>
          <w:tblCellSpacing w:w="15" w:type="dxa"/>
        </w:trPr>
        <w:tc>
          <w:tcPr>
            <w:tcW w:w="0" w:type="auto"/>
            <w:gridSpan w:val="2"/>
            <w:vAlign w:val="center"/>
            <w:hideMark/>
          </w:tcPr>
          <w:p w:rsidR="00103558" w:rsidRPr="00103558" w:rsidRDefault="00ED76A3" w:rsidP="00103558">
            <w:pPr>
              <w:spacing w:after="0" w:line="240" w:lineRule="auto"/>
              <w:rPr>
                <w:rFonts w:eastAsia="Times New Roman" w:cs="Times New Roman"/>
                <w:sz w:val="18"/>
                <w:szCs w:val="18"/>
                <w:lang w:eastAsia="pl-PL"/>
              </w:rPr>
            </w:pPr>
            <w:hyperlink r:id="rId4" w:history="1">
              <w:r w:rsidR="00103558">
                <w:rPr>
                  <w:rFonts w:eastAsia="Times New Roman" w:cs="Times New Roman"/>
                  <w:bCs/>
                  <w:color w:val="242424"/>
                  <w:sz w:val="18"/>
                  <w:szCs w:val="18"/>
                  <w:lang w:eastAsia="pl-PL"/>
                </w:rPr>
                <w:t xml:space="preserve">Wyrok  </w:t>
              </w:r>
              <w:r w:rsidR="00103558" w:rsidRPr="00103558">
                <w:rPr>
                  <w:rFonts w:eastAsia="Times New Roman" w:cs="Times New Roman"/>
                  <w:bCs/>
                  <w:color w:val="242424"/>
                  <w:sz w:val="18"/>
                  <w:szCs w:val="18"/>
                  <w:lang w:eastAsia="pl-PL"/>
                </w:rPr>
                <w:t>SA Warszawa z dnia 03-04-1997</w:t>
              </w:r>
              <w:r w:rsidR="00103558">
                <w:rPr>
                  <w:rFonts w:eastAsia="Times New Roman" w:cs="Times New Roman"/>
                  <w:bCs/>
                  <w:color w:val="242424"/>
                  <w:sz w:val="18"/>
                  <w:szCs w:val="18"/>
                  <w:lang w:eastAsia="pl-PL"/>
                </w:rPr>
                <w:t xml:space="preserve">   II </w:t>
              </w:r>
              <w:proofErr w:type="spellStart"/>
              <w:r w:rsidR="00103558">
                <w:rPr>
                  <w:rFonts w:eastAsia="Times New Roman" w:cs="Times New Roman"/>
                  <w:bCs/>
                  <w:color w:val="242424"/>
                  <w:sz w:val="18"/>
                  <w:szCs w:val="18"/>
                  <w:lang w:eastAsia="pl-PL"/>
                </w:rPr>
                <w:t>AKa</w:t>
              </w:r>
              <w:proofErr w:type="spellEnd"/>
              <w:r w:rsidR="00103558">
                <w:rPr>
                  <w:rFonts w:eastAsia="Times New Roman" w:cs="Times New Roman"/>
                  <w:bCs/>
                  <w:color w:val="242424"/>
                  <w:sz w:val="18"/>
                  <w:szCs w:val="18"/>
                  <w:lang w:eastAsia="pl-PL"/>
                </w:rPr>
                <w:t xml:space="preserve"> 81/97</w:t>
              </w:r>
              <w:r w:rsidR="00103558" w:rsidRPr="00103558">
                <w:rPr>
                  <w:rFonts w:eastAsia="Times New Roman" w:cs="Times New Roman"/>
                  <w:bCs/>
                  <w:color w:val="242424"/>
                  <w:sz w:val="18"/>
                  <w:szCs w:val="18"/>
                  <w:lang w:eastAsia="pl-PL"/>
                </w:rPr>
                <w:br/>
              </w:r>
            </w:hyperlink>
          </w:p>
        </w:tc>
      </w:tr>
      <w:tr w:rsidR="00103558" w:rsidRPr="00103558" w:rsidTr="0016288C">
        <w:trPr>
          <w:tblCellSpacing w:w="15" w:type="dxa"/>
        </w:trPr>
        <w:tc>
          <w:tcPr>
            <w:tcW w:w="0" w:type="auto"/>
            <w:gridSpan w:val="2"/>
            <w:vAlign w:val="center"/>
            <w:hideMark/>
          </w:tcPr>
          <w:p w:rsidR="00103558" w:rsidRPr="00103558" w:rsidRDefault="00103558" w:rsidP="00103558">
            <w:pPr>
              <w:spacing w:before="100" w:beforeAutospacing="1" w:after="100" w:afterAutospacing="1" w:line="240" w:lineRule="auto"/>
              <w:jc w:val="both"/>
              <w:rPr>
                <w:rFonts w:eastAsia="Times New Roman" w:cs="Times New Roman"/>
                <w:sz w:val="18"/>
                <w:szCs w:val="18"/>
                <w:lang w:eastAsia="pl-PL"/>
              </w:rPr>
            </w:pPr>
            <w:r w:rsidRPr="00103558">
              <w:rPr>
                <w:rFonts w:eastAsia="Times New Roman" w:cs="Times New Roman"/>
                <w:sz w:val="18"/>
                <w:szCs w:val="18"/>
                <w:lang w:eastAsia="pl-PL"/>
              </w:rPr>
              <w:t xml:space="preserve">Osobie w momencie trwania bezprawnego ataku na jej życie lub zdrowie, nie można stawiać przekraczających zdrowy rozsądek wymagań doboru narzędzi służących do odparcia ataku. Racjonalność takich ocen musi ulec modyfikacjom, wynikającym z kolei z oceny konkretnych warunków w jakich atak ma miejsce. Sposób odpierania ataku jest bowiem zwykle zdeterminowany czasem i miejscem takiej akcji oraz jej intensywnością i gwałtownością, ograniczającymi u atakowanego możliwość chłodnego rozumowania przy podejmowaniu decyzji co do sposobu obrony. </w:t>
            </w:r>
          </w:p>
        </w:tc>
      </w:tr>
      <w:tr w:rsidR="00103558" w:rsidRPr="00103558" w:rsidTr="00103558">
        <w:trPr>
          <w:gridAfter w:val="1"/>
          <w:tblCellSpacing w:w="15" w:type="dxa"/>
        </w:trPr>
        <w:tc>
          <w:tcPr>
            <w:tcW w:w="0" w:type="auto"/>
            <w:vAlign w:val="center"/>
            <w:hideMark/>
          </w:tcPr>
          <w:p w:rsidR="00103558" w:rsidRPr="00103558" w:rsidRDefault="00103558" w:rsidP="00103558">
            <w:pPr>
              <w:spacing w:after="0" w:line="240" w:lineRule="auto"/>
              <w:jc w:val="both"/>
              <w:rPr>
                <w:rFonts w:ascii="Times New Roman" w:eastAsia="Times New Roman" w:hAnsi="Times New Roman" w:cs="Times New Roman"/>
                <w:sz w:val="24"/>
                <w:szCs w:val="24"/>
                <w:lang w:eastAsia="pl-PL"/>
              </w:rPr>
            </w:pPr>
          </w:p>
        </w:tc>
      </w:tr>
      <w:tr w:rsidR="00103558" w:rsidRPr="00103558" w:rsidTr="00103558">
        <w:trPr>
          <w:gridAfter w:val="1"/>
          <w:tblCellSpacing w:w="15" w:type="dxa"/>
        </w:trPr>
        <w:tc>
          <w:tcPr>
            <w:tcW w:w="0" w:type="auto"/>
            <w:vAlign w:val="center"/>
            <w:hideMark/>
          </w:tcPr>
          <w:p w:rsidR="00103558" w:rsidRPr="00103558" w:rsidRDefault="00103558" w:rsidP="00103558">
            <w:pPr>
              <w:spacing w:before="100" w:beforeAutospacing="1" w:after="100" w:afterAutospacing="1" w:line="240" w:lineRule="auto"/>
              <w:jc w:val="both"/>
              <w:rPr>
                <w:rFonts w:eastAsia="Times New Roman" w:cs="Times New Roman"/>
                <w:sz w:val="18"/>
                <w:szCs w:val="18"/>
                <w:lang w:eastAsia="pl-PL"/>
              </w:rPr>
            </w:pPr>
            <w:r>
              <w:rPr>
                <w:rFonts w:eastAsia="Times New Roman" w:cs="Times New Roman"/>
                <w:sz w:val="18"/>
                <w:szCs w:val="18"/>
                <w:lang w:eastAsia="pl-PL"/>
              </w:rPr>
              <w:t xml:space="preserve"> </w:t>
            </w:r>
            <w:r w:rsidRPr="00103558">
              <w:rPr>
                <w:rFonts w:eastAsia="Times New Roman" w:cs="Times New Roman"/>
                <w:sz w:val="18"/>
                <w:szCs w:val="18"/>
                <w:lang w:eastAsia="pl-PL"/>
              </w:rPr>
              <w:t>Wyrok Sądu Najwyższego - Izba Karna z dnia 8 lutego 1985 r.    IV KR 18/85</w:t>
            </w:r>
          </w:p>
          <w:p w:rsidR="00103558" w:rsidRPr="00103558" w:rsidRDefault="00103558" w:rsidP="00103558">
            <w:pPr>
              <w:spacing w:before="100" w:beforeAutospacing="1" w:after="100" w:afterAutospacing="1" w:line="240" w:lineRule="auto"/>
              <w:jc w:val="both"/>
              <w:rPr>
                <w:rFonts w:eastAsia="Times New Roman" w:cs="Times New Roman"/>
                <w:sz w:val="18"/>
                <w:szCs w:val="18"/>
                <w:lang w:eastAsia="pl-PL"/>
              </w:rPr>
            </w:pPr>
            <w:r w:rsidRPr="00103558">
              <w:rPr>
                <w:rFonts w:eastAsia="Times New Roman" w:cs="Times New Roman"/>
                <w:sz w:val="18"/>
                <w:szCs w:val="18"/>
                <w:lang w:eastAsia="pl-PL"/>
              </w:rPr>
              <w:t>Pojęcia bezpośredniości zamachu na dobro prawnie chronione nie można zawężać tylko do zadawania przez napastnika ciosów albo groźby zadania ciosu lub groźby użycia niebezpiecznego narzędzia, tj. do takiego bezprawnego działania, które już godzi fizycznie w napadniętego lub może to bezzwłocznie nastąpić.</w:t>
            </w:r>
          </w:p>
          <w:p w:rsidR="00103558" w:rsidRPr="00103558" w:rsidRDefault="00103558" w:rsidP="00103558">
            <w:pPr>
              <w:spacing w:before="100" w:beforeAutospacing="1" w:after="100" w:afterAutospacing="1" w:line="240" w:lineRule="auto"/>
              <w:jc w:val="both"/>
              <w:rPr>
                <w:rFonts w:eastAsia="Times New Roman" w:cs="Times New Roman"/>
                <w:sz w:val="18"/>
                <w:szCs w:val="18"/>
                <w:lang w:eastAsia="pl-PL"/>
              </w:rPr>
            </w:pPr>
            <w:r w:rsidRPr="00103558">
              <w:rPr>
                <w:rFonts w:eastAsia="Times New Roman" w:cs="Times New Roman"/>
                <w:sz w:val="18"/>
                <w:szCs w:val="18"/>
                <w:lang w:eastAsia="pl-PL"/>
              </w:rPr>
              <w:t xml:space="preserve">Bezpośredniość zamachu istnieje także wtedy, gdy po pierwszym ataku i krótkiej przerwie napastnik zmierza do powtórzenia ataku, a istnieje wysoki stopień prawdopodobieństwa, że zamiar swój zrealizuje natychmiast lub w najbliższej chwili.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811"/>
              <w:gridCol w:w="45"/>
            </w:tblGrid>
            <w:tr w:rsidR="00103558" w:rsidRPr="00103558" w:rsidTr="00103558">
              <w:trPr>
                <w:gridAfter w:val="1"/>
                <w:tblCellSpacing w:w="15" w:type="dxa"/>
              </w:trPr>
              <w:tc>
                <w:tcPr>
                  <w:tcW w:w="0" w:type="auto"/>
                  <w:vAlign w:val="center"/>
                  <w:hideMark/>
                </w:tcPr>
                <w:p w:rsidR="00103558" w:rsidRPr="00103558" w:rsidRDefault="00103558" w:rsidP="00103558">
                  <w:pPr>
                    <w:spacing w:after="0" w:line="240" w:lineRule="auto"/>
                    <w:jc w:val="both"/>
                    <w:rPr>
                      <w:rFonts w:eastAsia="Times New Roman" w:cs="Times New Roman"/>
                      <w:sz w:val="18"/>
                      <w:szCs w:val="18"/>
                      <w:lang w:eastAsia="pl-PL"/>
                    </w:rPr>
                  </w:pPr>
                </w:p>
              </w:tc>
              <w:tc>
                <w:tcPr>
                  <w:tcW w:w="0" w:type="auto"/>
                  <w:vAlign w:val="center"/>
                  <w:hideMark/>
                </w:tcPr>
                <w:p w:rsidR="00103558" w:rsidRPr="00103558" w:rsidRDefault="00ED76A3" w:rsidP="00ED76A3">
                  <w:pPr>
                    <w:spacing w:after="0" w:line="240" w:lineRule="auto"/>
                    <w:rPr>
                      <w:rFonts w:eastAsia="Times New Roman" w:cs="Times New Roman"/>
                      <w:sz w:val="18"/>
                      <w:szCs w:val="18"/>
                      <w:lang w:eastAsia="pl-PL"/>
                    </w:rPr>
                  </w:pPr>
                  <w:hyperlink r:id="rId5" w:history="1">
                    <w:r w:rsidR="00103558" w:rsidRPr="00103558">
                      <w:rPr>
                        <w:rFonts w:eastAsia="Times New Roman" w:cs="Times New Roman"/>
                        <w:bCs/>
                        <w:color w:val="242424"/>
                        <w:sz w:val="18"/>
                        <w:szCs w:val="18"/>
                        <w:lang w:eastAsia="pl-PL"/>
                      </w:rPr>
                      <w:t xml:space="preserve">Wyrok SA Kraków z dnia 29-09-2005  II </w:t>
                    </w:r>
                    <w:proofErr w:type="spellStart"/>
                    <w:r w:rsidR="00103558" w:rsidRPr="00103558">
                      <w:rPr>
                        <w:rFonts w:eastAsia="Times New Roman" w:cs="Times New Roman"/>
                        <w:bCs/>
                        <w:color w:val="242424"/>
                        <w:sz w:val="18"/>
                        <w:szCs w:val="18"/>
                        <w:lang w:eastAsia="pl-PL"/>
                      </w:rPr>
                      <w:t>AKa</w:t>
                    </w:r>
                    <w:proofErr w:type="spellEnd"/>
                    <w:r w:rsidR="00103558" w:rsidRPr="00103558">
                      <w:rPr>
                        <w:rFonts w:eastAsia="Times New Roman" w:cs="Times New Roman"/>
                        <w:bCs/>
                        <w:color w:val="242424"/>
                        <w:sz w:val="18"/>
                        <w:szCs w:val="18"/>
                        <w:lang w:eastAsia="pl-PL"/>
                      </w:rPr>
                      <w:t xml:space="preserve"> 169/05</w:t>
                    </w:r>
                    <w:r w:rsidR="00103558" w:rsidRPr="00103558">
                      <w:rPr>
                        <w:rFonts w:eastAsia="Times New Roman" w:cs="Times New Roman"/>
                        <w:bCs/>
                        <w:color w:val="242424"/>
                        <w:sz w:val="18"/>
                        <w:szCs w:val="18"/>
                        <w:lang w:eastAsia="pl-PL"/>
                      </w:rPr>
                      <w:br/>
                      <w:t>Przekroczenie granic obrony koniecznej a przesłanki zabójstwa w afekcie</w:t>
                    </w:r>
                  </w:hyperlink>
                </w:p>
              </w:tc>
            </w:tr>
            <w:tr w:rsidR="00103558" w:rsidRPr="00103558" w:rsidTr="00103558">
              <w:trPr>
                <w:gridAfter w:val="1"/>
                <w:tblCellSpacing w:w="15" w:type="dxa"/>
              </w:trPr>
              <w:tc>
                <w:tcPr>
                  <w:tcW w:w="0" w:type="auto"/>
                  <w:vAlign w:val="center"/>
                  <w:hideMark/>
                </w:tcPr>
                <w:p w:rsidR="00103558" w:rsidRPr="00103558" w:rsidRDefault="00103558" w:rsidP="00103558">
                  <w:pPr>
                    <w:spacing w:after="0" w:line="240" w:lineRule="auto"/>
                    <w:jc w:val="both"/>
                    <w:rPr>
                      <w:rFonts w:eastAsia="Times New Roman" w:cs="Times New Roman"/>
                      <w:sz w:val="18"/>
                      <w:szCs w:val="18"/>
                      <w:lang w:eastAsia="pl-PL"/>
                    </w:rPr>
                  </w:pPr>
                </w:p>
              </w:tc>
              <w:tc>
                <w:tcPr>
                  <w:tcW w:w="0" w:type="auto"/>
                  <w:vAlign w:val="center"/>
                  <w:hideMark/>
                </w:tcPr>
                <w:p w:rsidR="00103558" w:rsidRPr="00103558" w:rsidRDefault="00103558" w:rsidP="00103558">
                  <w:pPr>
                    <w:spacing w:before="100" w:beforeAutospacing="1" w:after="100" w:afterAutospacing="1" w:line="240" w:lineRule="auto"/>
                    <w:jc w:val="both"/>
                    <w:rPr>
                      <w:rFonts w:eastAsia="Times New Roman" w:cs="Times New Roman"/>
                      <w:sz w:val="18"/>
                      <w:szCs w:val="18"/>
                      <w:lang w:eastAsia="pl-PL"/>
                    </w:rPr>
                  </w:pPr>
                  <w:r w:rsidRPr="00103558">
                    <w:rPr>
                      <w:rFonts w:eastAsia="Times New Roman" w:cs="Times New Roman"/>
                      <w:sz w:val="18"/>
                      <w:szCs w:val="18"/>
                      <w:lang w:eastAsia="pl-PL"/>
                    </w:rPr>
                    <w:t>1. Okoliczności usprawiedliwiające strach (lęk) lub wzburzenie sprawcy przekraczającego granice obrony koniecznej (art. 25 § 3 KK) są podobne jak powody silnego wzburzenia sprawcy zabójstwa (art. 148 § 4 KK). Nie można przy tym pominąć jednostkowej podatności sprawcy na doznanie strachu lub wzburzenia, zatem znaczenie w ocenie mają nie tylko przesłanki natury obiektywnej (wzorzec przeciętnego obywatela - zob. A. Zoil, Komentarz do KK, 1998, t. I, s. 230), ale i właściwości psychiczne sprawcy.</w:t>
                  </w:r>
                  <w:r>
                    <w:rPr>
                      <w:rFonts w:eastAsia="Times New Roman" w:cs="Times New Roman"/>
                      <w:sz w:val="18"/>
                      <w:szCs w:val="18"/>
                      <w:lang w:eastAsia="pl-PL"/>
                    </w:rPr>
                    <w:t xml:space="preserve">  </w:t>
                  </w:r>
                  <w:r w:rsidRPr="00103558">
                    <w:rPr>
                      <w:rFonts w:eastAsia="Times New Roman" w:cs="Times New Roman"/>
                      <w:sz w:val="18"/>
                      <w:szCs w:val="18"/>
                      <w:lang w:eastAsia="pl-PL"/>
                    </w:rPr>
                    <w:t xml:space="preserve">2. Ocena działań obronnych nie powinna być dokonywana przez pryzmat skutków, jakie te działania spowodowały. Napastnik powinien liczyć się z każdym następstwem obrony wywołanej swym atakiem. </w:t>
                  </w:r>
                </w:p>
              </w:tc>
            </w:tr>
            <w:tr w:rsidR="00103558" w:rsidRPr="00103558" w:rsidTr="00103558">
              <w:trPr>
                <w:tblCellSpacing w:w="15" w:type="dxa"/>
              </w:trPr>
              <w:tc>
                <w:tcPr>
                  <w:tcW w:w="0" w:type="auto"/>
                  <w:vAlign w:val="center"/>
                  <w:hideMark/>
                </w:tcPr>
                <w:p w:rsidR="00103558" w:rsidRPr="00103558" w:rsidRDefault="00103558" w:rsidP="00103558">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103558" w:rsidRPr="00103558" w:rsidRDefault="00ED76A3" w:rsidP="00103558">
                  <w:pPr>
                    <w:spacing w:after="0" w:line="240" w:lineRule="auto"/>
                    <w:rPr>
                      <w:rFonts w:eastAsia="Times New Roman" w:cs="Times New Roman"/>
                      <w:sz w:val="18"/>
                      <w:szCs w:val="18"/>
                      <w:lang w:eastAsia="pl-PL"/>
                    </w:rPr>
                  </w:pPr>
                  <w:hyperlink r:id="rId6" w:history="1">
                    <w:r w:rsidR="00103558">
                      <w:rPr>
                        <w:rFonts w:eastAsia="Times New Roman" w:cs="Times New Roman"/>
                        <w:bCs/>
                        <w:color w:val="242424"/>
                        <w:sz w:val="18"/>
                        <w:szCs w:val="18"/>
                        <w:lang w:eastAsia="pl-PL"/>
                      </w:rPr>
                      <w:t>W</w:t>
                    </w:r>
                    <w:r w:rsidR="00103558" w:rsidRPr="00103558">
                      <w:rPr>
                        <w:rFonts w:eastAsia="Times New Roman" w:cs="Times New Roman"/>
                        <w:bCs/>
                        <w:color w:val="242424"/>
                        <w:sz w:val="18"/>
                        <w:szCs w:val="18"/>
                        <w:lang w:eastAsia="pl-PL"/>
                      </w:rPr>
                      <w:t>yrok SN - Izba Karna z dnia 28-11-2007</w:t>
                    </w:r>
                    <w:r w:rsidR="00103558">
                      <w:rPr>
                        <w:rFonts w:eastAsia="Times New Roman" w:cs="Times New Roman"/>
                        <w:bCs/>
                        <w:color w:val="242424"/>
                        <w:sz w:val="18"/>
                        <w:szCs w:val="18"/>
                        <w:lang w:eastAsia="pl-PL"/>
                      </w:rPr>
                      <w:t xml:space="preserve">  V KK 81/07</w:t>
                    </w:r>
                    <w:r w:rsidR="00103558" w:rsidRPr="00103558">
                      <w:rPr>
                        <w:rFonts w:eastAsia="Times New Roman" w:cs="Times New Roman"/>
                        <w:bCs/>
                        <w:color w:val="242424"/>
                        <w:sz w:val="18"/>
                        <w:szCs w:val="18"/>
                        <w:lang w:eastAsia="pl-PL"/>
                      </w:rPr>
                      <w:br/>
                      <w:t>Zmiana zakresu operacji bez zgody pacjenta a odpowiedzialność lekarza</w:t>
                    </w:r>
                  </w:hyperlink>
                </w:p>
              </w:tc>
            </w:tr>
            <w:tr w:rsidR="00103558" w:rsidRPr="00103558" w:rsidTr="00103558">
              <w:trPr>
                <w:tblCellSpacing w:w="15" w:type="dxa"/>
              </w:trPr>
              <w:tc>
                <w:tcPr>
                  <w:tcW w:w="0" w:type="auto"/>
                  <w:vAlign w:val="center"/>
                  <w:hideMark/>
                </w:tcPr>
                <w:p w:rsidR="00103558" w:rsidRPr="00103558" w:rsidRDefault="00103558" w:rsidP="00103558">
                  <w:pPr>
                    <w:spacing w:after="0" w:line="240" w:lineRule="auto"/>
                    <w:rPr>
                      <w:rFonts w:ascii="Times New Roman" w:eastAsia="Times New Roman" w:hAnsi="Times New Roman" w:cs="Times New Roman"/>
                      <w:sz w:val="24"/>
                      <w:szCs w:val="24"/>
                      <w:lang w:eastAsia="pl-PL"/>
                    </w:rPr>
                  </w:pPr>
                </w:p>
              </w:tc>
              <w:tc>
                <w:tcPr>
                  <w:tcW w:w="0" w:type="auto"/>
                  <w:gridSpan w:val="2"/>
                  <w:vAlign w:val="center"/>
                  <w:hideMark/>
                </w:tcPr>
                <w:p w:rsidR="00103558" w:rsidRDefault="00103558" w:rsidP="00103558">
                  <w:pPr>
                    <w:spacing w:before="100" w:beforeAutospacing="1" w:after="100" w:afterAutospacing="1" w:line="240" w:lineRule="auto"/>
                    <w:rPr>
                      <w:rFonts w:eastAsia="Times New Roman" w:cs="Times New Roman"/>
                      <w:sz w:val="18"/>
                      <w:szCs w:val="18"/>
                      <w:lang w:eastAsia="pl-PL"/>
                    </w:rPr>
                  </w:pPr>
                  <w:r w:rsidRPr="00103558">
                    <w:rPr>
                      <w:rFonts w:eastAsia="Times New Roman" w:cs="Times New Roman"/>
                      <w:sz w:val="18"/>
                      <w:szCs w:val="18"/>
                      <w:lang w:eastAsia="pl-PL"/>
                    </w:rPr>
                    <w:t>Nie jest dopuszczalne uwolnienie lekarza od odpowiedzialności za zmianę zakresu zabiegu operacyjnego bez zgody pacjenta, na podstawie art. 26 § 1 lub § 5 KK, w sytuacji niespełnienia warunków określonych w art. 35 ust. 1 i 2 ustawy z dnia 5 grudnia 1996 r. o zawodzie lekarza i lekarza dentysty (Dz.U. z 2005 r., Nr 226, poz. 1943 ze zm.), gdyż oznaczałoby to zignorowanie, mających charakter gwarancyjny, ograniczeń wynikających z tego ostatniego przepisu.</w:t>
                  </w:r>
                </w:p>
                <w:p w:rsidR="00103558" w:rsidRDefault="00103558" w:rsidP="00103558">
                  <w:pPr>
                    <w:spacing w:before="100" w:beforeAutospacing="1" w:after="100" w:afterAutospacing="1" w:line="240" w:lineRule="auto"/>
                    <w:rPr>
                      <w:rFonts w:eastAsia="Times New Roman" w:cs="Times New Roman"/>
                      <w:sz w:val="18"/>
                      <w:szCs w:val="18"/>
                      <w:lang w:eastAsia="pl-PL"/>
                    </w:rPr>
                  </w:pPr>
                  <w:r w:rsidRPr="00103558">
                    <w:rPr>
                      <w:rFonts w:eastAsia="Times New Roman" w:cs="Times New Roman"/>
                      <w:sz w:val="18"/>
                      <w:szCs w:val="18"/>
                      <w:lang w:eastAsia="pl-PL"/>
                    </w:rPr>
                    <w:t xml:space="preserve"> Art. 35.</w:t>
                  </w:r>
                  <w:r>
                    <w:rPr>
                      <w:rFonts w:eastAsia="Times New Roman" w:cs="Times New Roman"/>
                      <w:sz w:val="18"/>
                      <w:szCs w:val="18"/>
                      <w:lang w:eastAsia="pl-PL"/>
                    </w:rPr>
                    <w:t>ustawy o zawodzie lekarza i lekarza dentysty</w:t>
                  </w:r>
                </w:p>
                <w:p w:rsidR="00103558" w:rsidRDefault="00103558" w:rsidP="00103558">
                  <w:pPr>
                    <w:spacing w:before="100" w:beforeAutospacing="1" w:after="100" w:afterAutospacing="1" w:line="240" w:lineRule="auto"/>
                    <w:rPr>
                      <w:rFonts w:eastAsia="Times New Roman" w:cs="Times New Roman"/>
                      <w:sz w:val="18"/>
                      <w:szCs w:val="18"/>
                      <w:lang w:eastAsia="pl-PL"/>
                    </w:rPr>
                  </w:pPr>
                  <w:r w:rsidRPr="00103558">
                    <w:rPr>
                      <w:rFonts w:eastAsia="Times New Roman" w:cs="Times New Roman"/>
                      <w:sz w:val="18"/>
                      <w:szCs w:val="18"/>
                      <w:lang w:eastAsia="pl-PL"/>
                    </w:rPr>
                    <w:t>1. Jeżeli w trakcie wykonywania zabiegu operacyjnego albo stosowania metody leczniczej lub diagnostycznej wystąpią okoliczności, których nieuwzględnienie groziłoby pacjentowi niebezpieczeństwem utraty życia, ciężkim uszkodzeniem ciała lub ciężkim rozstrojem zdrowia, a nie ma możliwości niezwłocznie uzyskać zgody pacjenta lub jego przedstawiciela ustawowego, lekarz ma prawo, bez uzyskania tej zgody, zmienić zakres zabiegu bądź metody leczenia lub diagnostyki w sposób umożliwiający uwzględnie</w:t>
                  </w:r>
                  <w:r>
                    <w:rPr>
                      <w:rFonts w:eastAsia="Times New Roman" w:cs="Times New Roman"/>
                      <w:sz w:val="18"/>
                      <w:szCs w:val="18"/>
                      <w:lang w:eastAsia="pl-PL"/>
                    </w:rPr>
                    <w:t xml:space="preserve">nie tych okoliczności. W takim </w:t>
                  </w:r>
                  <w:r w:rsidRPr="00103558">
                    <w:rPr>
                      <w:rFonts w:eastAsia="Times New Roman" w:cs="Times New Roman"/>
                      <w:sz w:val="18"/>
                      <w:szCs w:val="18"/>
                      <w:lang w:eastAsia="pl-PL"/>
                    </w:rPr>
                    <w:t xml:space="preserve">przypadku lekarz ma obowiązek, o ile jest to możliwe, zasięgnąć opinii drugiego lekarza, w miarę możliwości tej samej specjalności. </w:t>
                  </w:r>
                </w:p>
                <w:p w:rsidR="00103558" w:rsidRPr="00103558" w:rsidRDefault="00103558" w:rsidP="00103558">
                  <w:pPr>
                    <w:spacing w:before="100" w:beforeAutospacing="1" w:after="100" w:afterAutospacing="1" w:line="240" w:lineRule="auto"/>
                    <w:rPr>
                      <w:rFonts w:eastAsia="Times New Roman" w:cs="Times New Roman"/>
                      <w:sz w:val="18"/>
                      <w:szCs w:val="18"/>
                      <w:lang w:eastAsia="pl-PL"/>
                    </w:rPr>
                  </w:pPr>
                  <w:r w:rsidRPr="00103558">
                    <w:rPr>
                      <w:rFonts w:eastAsia="Times New Roman" w:cs="Times New Roman"/>
                      <w:sz w:val="18"/>
                      <w:szCs w:val="18"/>
                      <w:lang w:eastAsia="pl-PL"/>
                    </w:rPr>
                    <w:t>2. O okolicznościach, o których mowa w ust. 1, lekarz dokonuje odpowiedniej adnotacji w dokumentacji medycznej oraz informuje pacjenta, przedstawiciela ustawowego lub opiekuna fakt</w:t>
                  </w:r>
                  <w:r>
                    <w:rPr>
                      <w:rFonts w:eastAsia="Times New Roman" w:cs="Times New Roman"/>
                      <w:sz w:val="18"/>
                      <w:szCs w:val="18"/>
                      <w:lang w:eastAsia="pl-PL"/>
                    </w:rPr>
                    <w:t xml:space="preserve">ycznego albo sąd opiekuńczy. </w:t>
                  </w:r>
                </w:p>
              </w:tc>
            </w:tr>
          </w:tbl>
          <w:p w:rsidR="00103558" w:rsidRPr="00103558" w:rsidRDefault="00103558" w:rsidP="00103558">
            <w:pPr>
              <w:spacing w:before="100" w:beforeAutospacing="1" w:after="100" w:afterAutospacing="1" w:line="240" w:lineRule="auto"/>
              <w:jc w:val="both"/>
              <w:rPr>
                <w:rFonts w:eastAsia="Times New Roman" w:cs="Times New Roman"/>
                <w:sz w:val="18"/>
                <w:szCs w:val="18"/>
                <w:lang w:eastAsia="pl-PL"/>
              </w:rPr>
            </w:pPr>
          </w:p>
          <w:p w:rsidR="00103558" w:rsidRPr="00103558" w:rsidRDefault="00103558" w:rsidP="00103558">
            <w:pPr>
              <w:spacing w:after="0" w:line="240" w:lineRule="auto"/>
              <w:jc w:val="both"/>
              <w:rPr>
                <w:rFonts w:eastAsia="Times New Roman" w:cs="Times New Roman"/>
                <w:sz w:val="18"/>
                <w:szCs w:val="18"/>
                <w:lang w:eastAsia="pl-PL"/>
              </w:rPr>
            </w:pPr>
          </w:p>
        </w:tc>
      </w:tr>
    </w:tbl>
    <w:p w:rsidR="00103558" w:rsidRPr="00103558" w:rsidRDefault="00103558" w:rsidP="00103558">
      <w:pPr>
        <w:spacing w:before="100" w:beforeAutospacing="1" w:after="100" w:afterAutospacing="1" w:line="240" w:lineRule="auto"/>
        <w:rPr>
          <w:rFonts w:eastAsia="Times New Roman" w:cs="Times New Roman"/>
          <w:sz w:val="18"/>
          <w:szCs w:val="18"/>
          <w:lang w:eastAsia="pl-PL"/>
        </w:rPr>
      </w:pPr>
    </w:p>
    <w:p w:rsidR="001B1F3D" w:rsidRPr="00103558" w:rsidRDefault="001B1F3D">
      <w:pPr>
        <w:rPr>
          <w:sz w:val="18"/>
          <w:szCs w:val="18"/>
        </w:rPr>
      </w:pPr>
    </w:p>
    <w:sectPr w:rsidR="001B1F3D" w:rsidRPr="001035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D9"/>
    <w:rsid w:val="00103558"/>
    <w:rsid w:val="001B1F3D"/>
    <w:rsid w:val="007D57D9"/>
    <w:rsid w:val="00ED76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4AD08-9305-4D2B-848C-225716A9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03558"/>
    <w:rPr>
      <w:color w:val="0000FF"/>
      <w:u w:val="single"/>
    </w:rPr>
  </w:style>
  <w:style w:type="paragraph" w:styleId="NormalnyWeb">
    <w:name w:val="Normal (Web)"/>
    <w:basedOn w:val="Normalny"/>
    <w:uiPriority w:val="99"/>
    <w:semiHidden/>
    <w:unhideWhenUsed/>
    <w:rsid w:val="0010355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19514">
      <w:bodyDiv w:val="1"/>
      <w:marLeft w:val="0"/>
      <w:marRight w:val="0"/>
      <w:marTop w:val="0"/>
      <w:marBottom w:val="0"/>
      <w:divBdr>
        <w:top w:val="none" w:sz="0" w:space="0" w:color="auto"/>
        <w:left w:val="none" w:sz="0" w:space="0" w:color="auto"/>
        <w:bottom w:val="none" w:sz="0" w:space="0" w:color="auto"/>
        <w:right w:val="none" w:sz="0" w:space="0" w:color="auto"/>
      </w:divBdr>
      <w:divsChild>
        <w:div w:id="1888301511">
          <w:marLeft w:val="0"/>
          <w:marRight w:val="0"/>
          <w:marTop w:val="0"/>
          <w:marBottom w:val="0"/>
          <w:divBdr>
            <w:top w:val="none" w:sz="0" w:space="0" w:color="auto"/>
            <w:left w:val="none" w:sz="0" w:space="0" w:color="auto"/>
            <w:bottom w:val="none" w:sz="0" w:space="0" w:color="auto"/>
            <w:right w:val="none" w:sz="0" w:space="0" w:color="auto"/>
          </w:divBdr>
        </w:div>
        <w:div w:id="954946786">
          <w:marLeft w:val="0"/>
          <w:marRight w:val="0"/>
          <w:marTop w:val="0"/>
          <w:marBottom w:val="0"/>
          <w:divBdr>
            <w:top w:val="none" w:sz="0" w:space="0" w:color="auto"/>
            <w:left w:val="none" w:sz="0" w:space="0" w:color="auto"/>
            <w:bottom w:val="none" w:sz="0" w:space="0" w:color="auto"/>
            <w:right w:val="none" w:sz="0" w:space="0" w:color="auto"/>
          </w:divBdr>
          <w:divsChild>
            <w:div w:id="1926456151">
              <w:marLeft w:val="0"/>
              <w:marRight w:val="0"/>
              <w:marTop w:val="0"/>
              <w:marBottom w:val="0"/>
              <w:divBdr>
                <w:top w:val="none" w:sz="0" w:space="0" w:color="auto"/>
                <w:left w:val="none" w:sz="0" w:space="0" w:color="auto"/>
                <w:bottom w:val="none" w:sz="0" w:space="0" w:color="auto"/>
                <w:right w:val="none" w:sz="0" w:space="0" w:color="auto"/>
              </w:divBdr>
              <w:divsChild>
                <w:div w:id="23361901">
                  <w:marLeft w:val="0"/>
                  <w:marRight w:val="0"/>
                  <w:marTop w:val="0"/>
                  <w:marBottom w:val="0"/>
                  <w:divBdr>
                    <w:top w:val="none" w:sz="0" w:space="0" w:color="auto"/>
                    <w:left w:val="none" w:sz="0" w:space="0" w:color="auto"/>
                    <w:bottom w:val="none" w:sz="0" w:space="0" w:color="auto"/>
                    <w:right w:val="none" w:sz="0" w:space="0" w:color="auto"/>
                  </w:divBdr>
                  <w:divsChild>
                    <w:div w:id="968433079">
                      <w:marLeft w:val="0"/>
                      <w:marRight w:val="0"/>
                      <w:marTop w:val="0"/>
                      <w:marBottom w:val="0"/>
                      <w:divBdr>
                        <w:top w:val="none" w:sz="0" w:space="0" w:color="auto"/>
                        <w:left w:val="none" w:sz="0" w:space="0" w:color="auto"/>
                        <w:bottom w:val="none" w:sz="0" w:space="0" w:color="auto"/>
                        <w:right w:val="none" w:sz="0" w:space="0" w:color="auto"/>
                      </w:divBdr>
                      <w:divsChild>
                        <w:div w:id="9226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525531">
      <w:bodyDiv w:val="1"/>
      <w:marLeft w:val="0"/>
      <w:marRight w:val="0"/>
      <w:marTop w:val="0"/>
      <w:marBottom w:val="0"/>
      <w:divBdr>
        <w:top w:val="none" w:sz="0" w:space="0" w:color="auto"/>
        <w:left w:val="none" w:sz="0" w:space="0" w:color="auto"/>
        <w:bottom w:val="none" w:sz="0" w:space="0" w:color="auto"/>
        <w:right w:val="none" w:sz="0" w:space="0" w:color="auto"/>
      </w:divBdr>
      <w:divsChild>
        <w:div w:id="82460683">
          <w:marLeft w:val="0"/>
          <w:marRight w:val="0"/>
          <w:marTop w:val="0"/>
          <w:marBottom w:val="0"/>
          <w:divBdr>
            <w:top w:val="none" w:sz="0" w:space="0" w:color="auto"/>
            <w:left w:val="none" w:sz="0" w:space="0" w:color="auto"/>
            <w:bottom w:val="none" w:sz="0" w:space="0" w:color="auto"/>
            <w:right w:val="none" w:sz="0" w:space="0" w:color="auto"/>
          </w:divBdr>
        </w:div>
        <w:div w:id="1762412009">
          <w:marLeft w:val="0"/>
          <w:marRight w:val="0"/>
          <w:marTop w:val="0"/>
          <w:marBottom w:val="0"/>
          <w:divBdr>
            <w:top w:val="none" w:sz="0" w:space="0" w:color="auto"/>
            <w:left w:val="none" w:sz="0" w:space="0" w:color="auto"/>
            <w:bottom w:val="none" w:sz="0" w:space="0" w:color="auto"/>
            <w:right w:val="none" w:sz="0" w:space="0" w:color="auto"/>
          </w:divBdr>
          <w:divsChild>
            <w:div w:id="1231379475">
              <w:marLeft w:val="0"/>
              <w:marRight w:val="0"/>
              <w:marTop w:val="0"/>
              <w:marBottom w:val="0"/>
              <w:divBdr>
                <w:top w:val="none" w:sz="0" w:space="0" w:color="auto"/>
                <w:left w:val="none" w:sz="0" w:space="0" w:color="auto"/>
                <w:bottom w:val="none" w:sz="0" w:space="0" w:color="auto"/>
                <w:right w:val="none" w:sz="0" w:space="0" w:color="auto"/>
              </w:divBdr>
              <w:divsChild>
                <w:div w:id="861476507">
                  <w:marLeft w:val="0"/>
                  <w:marRight w:val="0"/>
                  <w:marTop w:val="0"/>
                  <w:marBottom w:val="0"/>
                  <w:divBdr>
                    <w:top w:val="none" w:sz="0" w:space="0" w:color="auto"/>
                    <w:left w:val="none" w:sz="0" w:space="0" w:color="auto"/>
                    <w:bottom w:val="none" w:sz="0" w:space="0" w:color="auto"/>
                    <w:right w:val="none" w:sz="0" w:space="0" w:color="auto"/>
                  </w:divBdr>
                  <w:divsChild>
                    <w:div w:id="1386175656">
                      <w:marLeft w:val="0"/>
                      <w:marRight w:val="0"/>
                      <w:marTop w:val="0"/>
                      <w:marBottom w:val="0"/>
                      <w:divBdr>
                        <w:top w:val="none" w:sz="0" w:space="0" w:color="auto"/>
                        <w:left w:val="none" w:sz="0" w:space="0" w:color="auto"/>
                        <w:bottom w:val="none" w:sz="0" w:space="0" w:color="auto"/>
                        <w:right w:val="none" w:sz="0" w:space="0" w:color="auto"/>
                      </w:divBdr>
                      <w:divsChild>
                        <w:div w:id="19748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275421">
      <w:bodyDiv w:val="1"/>
      <w:marLeft w:val="0"/>
      <w:marRight w:val="0"/>
      <w:marTop w:val="0"/>
      <w:marBottom w:val="0"/>
      <w:divBdr>
        <w:top w:val="none" w:sz="0" w:space="0" w:color="auto"/>
        <w:left w:val="none" w:sz="0" w:space="0" w:color="auto"/>
        <w:bottom w:val="none" w:sz="0" w:space="0" w:color="auto"/>
        <w:right w:val="none" w:sz="0" w:space="0" w:color="auto"/>
      </w:divBdr>
      <w:divsChild>
        <w:div w:id="200750259">
          <w:marLeft w:val="0"/>
          <w:marRight w:val="0"/>
          <w:marTop w:val="0"/>
          <w:marBottom w:val="0"/>
          <w:divBdr>
            <w:top w:val="none" w:sz="0" w:space="0" w:color="auto"/>
            <w:left w:val="none" w:sz="0" w:space="0" w:color="auto"/>
            <w:bottom w:val="none" w:sz="0" w:space="0" w:color="auto"/>
            <w:right w:val="none" w:sz="0" w:space="0" w:color="auto"/>
          </w:divBdr>
          <w:divsChild>
            <w:div w:id="6486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0424">
      <w:bodyDiv w:val="1"/>
      <w:marLeft w:val="0"/>
      <w:marRight w:val="0"/>
      <w:marTop w:val="0"/>
      <w:marBottom w:val="0"/>
      <w:divBdr>
        <w:top w:val="none" w:sz="0" w:space="0" w:color="auto"/>
        <w:left w:val="none" w:sz="0" w:space="0" w:color="auto"/>
        <w:bottom w:val="none" w:sz="0" w:space="0" w:color="auto"/>
        <w:right w:val="none" w:sz="0" w:space="0" w:color="auto"/>
      </w:divBdr>
      <w:divsChild>
        <w:div w:id="1813323463">
          <w:marLeft w:val="0"/>
          <w:marRight w:val="0"/>
          <w:marTop w:val="0"/>
          <w:marBottom w:val="0"/>
          <w:divBdr>
            <w:top w:val="none" w:sz="0" w:space="0" w:color="auto"/>
            <w:left w:val="none" w:sz="0" w:space="0" w:color="auto"/>
            <w:bottom w:val="none" w:sz="0" w:space="0" w:color="auto"/>
            <w:right w:val="none" w:sz="0" w:space="0" w:color="auto"/>
          </w:divBdr>
          <w:divsChild>
            <w:div w:id="13262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7242">
      <w:bodyDiv w:val="1"/>
      <w:marLeft w:val="0"/>
      <w:marRight w:val="0"/>
      <w:marTop w:val="0"/>
      <w:marBottom w:val="0"/>
      <w:divBdr>
        <w:top w:val="none" w:sz="0" w:space="0" w:color="auto"/>
        <w:left w:val="none" w:sz="0" w:space="0" w:color="auto"/>
        <w:bottom w:val="none" w:sz="0" w:space="0" w:color="auto"/>
        <w:right w:val="none" w:sz="0" w:space="0" w:color="auto"/>
      </w:divBdr>
      <w:divsChild>
        <w:div w:id="56124835">
          <w:marLeft w:val="0"/>
          <w:marRight w:val="0"/>
          <w:marTop w:val="0"/>
          <w:marBottom w:val="0"/>
          <w:divBdr>
            <w:top w:val="none" w:sz="0" w:space="0" w:color="auto"/>
            <w:left w:val="none" w:sz="0" w:space="0" w:color="auto"/>
            <w:bottom w:val="none" w:sz="0" w:space="0" w:color="auto"/>
            <w:right w:val="none" w:sz="0" w:space="0" w:color="auto"/>
          </w:divBdr>
        </w:div>
        <w:div w:id="516509139">
          <w:marLeft w:val="0"/>
          <w:marRight w:val="0"/>
          <w:marTop w:val="0"/>
          <w:marBottom w:val="0"/>
          <w:divBdr>
            <w:top w:val="none" w:sz="0" w:space="0" w:color="auto"/>
            <w:left w:val="none" w:sz="0" w:space="0" w:color="auto"/>
            <w:bottom w:val="none" w:sz="0" w:space="0" w:color="auto"/>
            <w:right w:val="none" w:sz="0" w:space="0" w:color="auto"/>
          </w:divBdr>
          <w:divsChild>
            <w:div w:id="418602915">
              <w:marLeft w:val="0"/>
              <w:marRight w:val="0"/>
              <w:marTop w:val="0"/>
              <w:marBottom w:val="0"/>
              <w:divBdr>
                <w:top w:val="none" w:sz="0" w:space="0" w:color="auto"/>
                <w:left w:val="none" w:sz="0" w:space="0" w:color="auto"/>
                <w:bottom w:val="none" w:sz="0" w:space="0" w:color="auto"/>
                <w:right w:val="none" w:sz="0" w:space="0" w:color="auto"/>
              </w:divBdr>
              <w:divsChild>
                <w:div w:id="423650899">
                  <w:marLeft w:val="0"/>
                  <w:marRight w:val="0"/>
                  <w:marTop w:val="0"/>
                  <w:marBottom w:val="0"/>
                  <w:divBdr>
                    <w:top w:val="none" w:sz="0" w:space="0" w:color="auto"/>
                    <w:left w:val="none" w:sz="0" w:space="0" w:color="auto"/>
                    <w:bottom w:val="none" w:sz="0" w:space="0" w:color="auto"/>
                    <w:right w:val="none" w:sz="0" w:space="0" w:color="auto"/>
                  </w:divBdr>
                  <w:divsChild>
                    <w:div w:id="1893078091">
                      <w:marLeft w:val="0"/>
                      <w:marRight w:val="0"/>
                      <w:marTop w:val="0"/>
                      <w:marBottom w:val="0"/>
                      <w:divBdr>
                        <w:top w:val="none" w:sz="0" w:space="0" w:color="auto"/>
                        <w:left w:val="none" w:sz="0" w:space="0" w:color="auto"/>
                        <w:bottom w:val="none" w:sz="0" w:space="0" w:color="auto"/>
                        <w:right w:val="none" w:sz="0" w:space="0" w:color="auto"/>
                      </w:divBdr>
                      <w:divsChild>
                        <w:div w:id="9491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265900">
      <w:bodyDiv w:val="1"/>
      <w:marLeft w:val="0"/>
      <w:marRight w:val="0"/>
      <w:marTop w:val="0"/>
      <w:marBottom w:val="0"/>
      <w:divBdr>
        <w:top w:val="none" w:sz="0" w:space="0" w:color="auto"/>
        <w:left w:val="none" w:sz="0" w:space="0" w:color="auto"/>
        <w:bottom w:val="none" w:sz="0" w:space="0" w:color="auto"/>
        <w:right w:val="none" w:sz="0" w:space="0" w:color="auto"/>
      </w:divBdr>
      <w:divsChild>
        <w:div w:id="1218711049">
          <w:marLeft w:val="0"/>
          <w:marRight w:val="0"/>
          <w:marTop w:val="0"/>
          <w:marBottom w:val="0"/>
          <w:divBdr>
            <w:top w:val="none" w:sz="0" w:space="0" w:color="auto"/>
            <w:left w:val="none" w:sz="0" w:space="0" w:color="auto"/>
            <w:bottom w:val="none" w:sz="0" w:space="0" w:color="auto"/>
            <w:right w:val="none" w:sz="0" w:space="0" w:color="auto"/>
          </w:divBdr>
          <w:divsChild>
            <w:div w:id="596134846">
              <w:marLeft w:val="0"/>
              <w:marRight w:val="0"/>
              <w:marTop w:val="0"/>
              <w:marBottom w:val="0"/>
              <w:divBdr>
                <w:top w:val="none" w:sz="0" w:space="0" w:color="auto"/>
                <w:left w:val="none" w:sz="0" w:space="0" w:color="auto"/>
                <w:bottom w:val="none" w:sz="0" w:space="0" w:color="auto"/>
                <w:right w:val="none" w:sz="0" w:space="0" w:color="auto"/>
              </w:divBdr>
              <w:divsChild>
                <w:div w:id="1653101321">
                  <w:marLeft w:val="0"/>
                  <w:marRight w:val="0"/>
                  <w:marTop w:val="0"/>
                  <w:marBottom w:val="0"/>
                  <w:divBdr>
                    <w:top w:val="none" w:sz="0" w:space="0" w:color="auto"/>
                    <w:left w:val="none" w:sz="0" w:space="0" w:color="auto"/>
                    <w:bottom w:val="none" w:sz="0" w:space="0" w:color="auto"/>
                    <w:right w:val="none" w:sz="0" w:space="0" w:color="auto"/>
                  </w:divBdr>
                  <w:divsChild>
                    <w:div w:id="1929386549">
                      <w:marLeft w:val="0"/>
                      <w:marRight w:val="0"/>
                      <w:marTop w:val="0"/>
                      <w:marBottom w:val="0"/>
                      <w:divBdr>
                        <w:top w:val="none" w:sz="0" w:space="0" w:color="auto"/>
                        <w:left w:val="none" w:sz="0" w:space="0" w:color="auto"/>
                        <w:bottom w:val="none" w:sz="0" w:space="0" w:color="auto"/>
                        <w:right w:val="none" w:sz="0" w:space="0" w:color="auto"/>
                      </w:divBdr>
                      <w:divsChild>
                        <w:div w:id="1849515638">
                          <w:marLeft w:val="0"/>
                          <w:marRight w:val="0"/>
                          <w:marTop w:val="0"/>
                          <w:marBottom w:val="0"/>
                          <w:divBdr>
                            <w:top w:val="none" w:sz="0" w:space="0" w:color="auto"/>
                            <w:left w:val="none" w:sz="0" w:space="0" w:color="auto"/>
                            <w:bottom w:val="none" w:sz="0" w:space="0" w:color="auto"/>
                            <w:right w:val="none" w:sz="0" w:space="0" w:color="auto"/>
                          </w:divBdr>
                          <w:divsChild>
                            <w:div w:id="238104068">
                              <w:marLeft w:val="0"/>
                              <w:marRight w:val="0"/>
                              <w:marTop w:val="0"/>
                              <w:marBottom w:val="0"/>
                              <w:divBdr>
                                <w:top w:val="none" w:sz="0" w:space="0" w:color="auto"/>
                                <w:left w:val="none" w:sz="0" w:space="0" w:color="auto"/>
                                <w:bottom w:val="none" w:sz="0" w:space="0" w:color="auto"/>
                                <w:right w:val="none" w:sz="0" w:space="0" w:color="auto"/>
                              </w:divBdr>
                              <w:divsChild>
                                <w:div w:id="575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068648">
      <w:bodyDiv w:val="1"/>
      <w:marLeft w:val="0"/>
      <w:marRight w:val="0"/>
      <w:marTop w:val="0"/>
      <w:marBottom w:val="0"/>
      <w:divBdr>
        <w:top w:val="none" w:sz="0" w:space="0" w:color="auto"/>
        <w:left w:val="none" w:sz="0" w:space="0" w:color="auto"/>
        <w:bottom w:val="none" w:sz="0" w:space="0" w:color="auto"/>
        <w:right w:val="none" w:sz="0" w:space="0" w:color="auto"/>
      </w:divBdr>
      <w:divsChild>
        <w:div w:id="694506125">
          <w:marLeft w:val="0"/>
          <w:marRight w:val="0"/>
          <w:marTop w:val="0"/>
          <w:marBottom w:val="0"/>
          <w:divBdr>
            <w:top w:val="none" w:sz="0" w:space="0" w:color="auto"/>
            <w:left w:val="none" w:sz="0" w:space="0" w:color="auto"/>
            <w:bottom w:val="none" w:sz="0" w:space="0" w:color="auto"/>
            <w:right w:val="none" w:sz="0" w:space="0" w:color="auto"/>
          </w:divBdr>
          <w:divsChild>
            <w:div w:id="8556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galis.pl/document-view.seam?documentId=mrswglrygaytcnbsha3a" TargetMode="External"/><Relationship Id="rId5" Type="http://schemas.openxmlformats.org/officeDocument/2006/relationships/hyperlink" Target="https://sip.legalis.pl/document-view.seam?documentId=mrswglrwguydqmrvgyzq" TargetMode="External"/><Relationship Id="rId4" Type="http://schemas.openxmlformats.org/officeDocument/2006/relationships/hyperlink" Target="https://sip.legalis.pl/document-view.seam?documentId=mrswglrsguzdon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970</Words>
  <Characters>5820</Characters>
  <Application>Microsoft Office Word</Application>
  <DocSecurity>0</DocSecurity>
  <Lines>48</Lines>
  <Paragraphs>13</Paragraphs>
  <ScaleCrop>false</ScaleCrop>
  <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Gadzińska</dc:creator>
  <cp:keywords/>
  <dc:description/>
  <cp:lastModifiedBy>Paulina Gadzińska</cp:lastModifiedBy>
  <cp:revision>4</cp:revision>
  <dcterms:created xsi:type="dcterms:W3CDTF">2015-11-02T11:29:00Z</dcterms:created>
  <dcterms:modified xsi:type="dcterms:W3CDTF">2015-11-02T12:21:00Z</dcterms:modified>
</cp:coreProperties>
</file>