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9" w:rsidRDefault="00841DE9" w:rsidP="005C3EB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Prawa człowieka i ich ochrona</w:t>
      </w:r>
    </w:p>
    <w:p w:rsidR="00841DE9" w:rsidRPr="0069002C" w:rsidRDefault="00841DE9" w:rsidP="005C3EB8">
      <w:pPr>
        <w:ind w:left="426"/>
        <w:rPr>
          <w:rFonts w:ascii="Arial Narrow" w:hAnsi="Arial Narrow"/>
          <w:b/>
        </w:rPr>
      </w:pPr>
    </w:p>
    <w:p w:rsidR="00841DE9" w:rsidRPr="0069002C" w:rsidRDefault="00841DE9" w:rsidP="005C3EB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69002C">
        <w:rPr>
          <w:rFonts w:ascii="Arial Narrow" w:hAnsi="Arial Narrow"/>
          <w:b/>
          <w:sz w:val="28"/>
          <w:szCs w:val="28"/>
        </w:rPr>
        <w:t>Informacje ogólne o przedmiocie</w:t>
      </w:r>
    </w:p>
    <w:p w:rsidR="00841DE9" w:rsidRPr="0069002C" w:rsidRDefault="00841DE9" w:rsidP="005C3EB8">
      <w:pPr>
        <w:rPr>
          <w:rFonts w:ascii="Arial Narrow" w:hAnsi="Arial Narrow"/>
          <w:b/>
        </w:rPr>
      </w:pPr>
    </w:p>
    <w:tbl>
      <w:tblPr>
        <w:tblW w:w="0" w:type="auto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9"/>
        <w:gridCol w:w="4264"/>
        <w:gridCol w:w="2432"/>
      </w:tblGrid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Kierunek studiów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Prawo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studiów</w:t>
            </w:r>
          </w:p>
        </w:tc>
        <w:tc>
          <w:tcPr>
            <w:tcW w:w="4264" w:type="dxa"/>
            <w:vAlign w:val="center"/>
          </w:tcPr>
          <w:p w:rsidR="00841DE9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wieczorowe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 w:rsidRPr="009B0261">
              <w:rPr>
                <w:rFonts w:ascii="Arial Narrow" w:hAnsi="Arial Narrow"/>
                <w:sz w:val="22"/>
                <w:szCs w:val="22"/>
              </w:rPr>
              <w:t>Prowadzący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Artur Ławniczak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 w:rsidRPr="009B0261">
              <w:rPr>
                <w:rFonts w:ascii="Arial Narrow" w:hAnsi="Arial Narrow"/>
                <w:sz w:val="22"/>
                <w:szCs w:val="22"/>
              </w:rPr>
              <w:t>Semestr</w:t>
            </w:r>
            <w:r>
              <w:rPr>
                <w:rFonts w:ascii="Arial Narrow" w:hAnsi="Arial Narrow"/>
                <w:sz w:val="22"/>
                <w:szCs w:val="22"/>
              </w:rPr>
              <w:t>/rok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¼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 zajęć dydaktycznych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 w:rsidRPr="009B0261">
              <w:rPr>
                <w:rFonts w:ascii="Arial Narrow" w:hAnsi="Arial Narrow"/>
                <w:b/>
              </w:rPr>
              <w:t>Wykład</w:t>
            </w:r>
            <w:r>
              <w:rPr>
                <w:rFonts w:ascii="Arial Narrow" w:hAnsi="Arial Narrow"/>
                <w:b/>
              </w:rPr>
              <w:t xml:space="preserve"> i ćwiczenia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Default="00841DE9" w:rsidP="00DE2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Wymiar czasowy</w:t>
            </w:r>
          </w:p>
        </w:tc>
        <w:tc>
          <w:tcPr>
            <w:tcW w:w="4264" w:type="dxa"/>
            <w:vAlign w:val="center"/>
          </w:tcPr>
          <w:p w:rsidR="00841DE9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Wykład: 30</w:t>
            </w:r>
          </w:p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Ćwiczenia:15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Typ przedmiotu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 w:rsidRPr="009B0261">
              <w:rPr>
                <w:rFonts w:ascii="Arial Narrow" w:hAnsi="Arial Narrow"/>
                <w:b/>
              </w:rPr>
              <w:t>Ob</w:t>
            </w:r>
            <w:r>
              <w:rPr>
                <w:rFonts w:ascii="Arial Narrow" w:hAnsi="Arial Narrow"/>
                <w:b/>
              </w:rPr>
              <w:t>ligatoryjny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Warunki dopuszczenia do podjęcia przedmiotu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Brak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przedmiotu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Polski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zaliczenia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Zaliczenie ćwiczeń i wykładu</w:t>
            </w:r>
          </w:p>
        </w:tc>
      </w:tr>
      <w:tr w:rsidR="00841DE9" w:rsidRPr="009B0261" w:rsidTr="00DE266E">
        <w:trPr>
          <w:gridAfter w:val="1"/>
          <w:wAfter w:w="2432" w:type="dxa"/>
          <w:trHeight w:val="551"/>
          <w:jc w:val="center"/>
        </w:trPr>
        <w:tc>
          <w:tcPr>
            <w:tcW w:w="3339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</w:rPr>
            </w:pPr>
            <w:r w:rsidRPr="009B0261">
              <w:rPr>
                <w:rFonts w:ascii="Arial Narrow" w:hAnsi="Arial Narrow"/>
                <w:sz w:val="22"/>
                <w:szCs w:val="22"/>
              </w:rPr>
              <w:t>Liczba punktów ECTS</w:t>
            </w:r>
          </w:p>
        </w:tc>
        <w:tc>
          <w:tcPr>
            <w:tcW w:w="4264" w:type="dxa"/>
            <w:vAlign w:val="center"/>
          </w:tcPr>
          <w:p w:rsidR="00841DE9" w:rsidRPr="009B0261" w:rsidRDefault="00841DE9" w:rsidP="00DE26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841DE9" w:rsidRPr="007244DA" w:rsidTr="00DE266E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0035" w:type="dxa"/>
            <w:gridSpan w:val="3"/>
            <w:vAlign w:val="center"/>
          </w:tcPr>
          <w:p w:rsidR="00841DE9" w:rsidRPr="0069002C" w:rsidRDefault="00841DE9" w:rsidP="00DE266E">
            <w:pPr>
              <w:rPr>
                <w:rFonts w:ascii="Arial Narrow" w:hAnsi="Arial Narrow"/>
                <w:b/>
              </w:rPr>
            </w:pPr>
          </w:p>
          <w:p w:rsidR="00841DE9" w:rsidRDefault="00841DE9" w:rsidP="00DE266E">
            <w:pPr>
              <w:ind w:left="72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1DE9" w:rsidRDefault="00841DE9" w:rsidP="00DE266E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9002C">
              <w:rPr>
                <w:rFonts w:ascii="Arial Narrow" w:hAnsi="Arial Narrow"/>
                <w:b/>
                <w:sz w:val="28"/>
                <w:szCs w:val="28"/>
              </w:rPr>
              <w:t>Cele przedmiotu</w:t>
            </w:r>
          </w:p>
          <w:p w:rsidR="00841DE9" w:rsidRPr="00BA16C2" w:rsidRDefault="00841DE9" w:rsidP="00DE266E">
            <w:pPr>
              <w:jc w:val="both"/>
            </w:pPr>
            <w:r>
              <w:t xml:space="preserve">Jednym z najbardziej istotnych zagadnień w prawie publicznym jest problematyka praw i wolności człowieka i obywatela. Wyjaśnienie pojęcia praw człowieka, zakresu ich przedmiotowej regulacji, ochrony w prawie krajowym i międzynarodowym, jak również możliwości ich ograniczania jest podstawowym założeniem wykładu z praw człowieka. </w:t>
            </w:r>
          </w:p>
          <w:p w:rsidR="00841DE9" w:rsidRDefault="00841DE9" w:rsidP="00DE266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1DE9" w:rsidRPr="0069002C" w:rsidRDefault="00841DE9" w:rsidP="00DE266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1DE9" w:rsidRDefault="00841DE9" w:rsidP="00DE266E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9002C">
              <w:rPr>
                <w:rFonts w:ascii="Arial Narrow" w:hAnsi="Arial Narrow"/>
                <w:b/>
                <w:sz w:val="28"/>
                <w:szCs w:val="28"/>
              </w:rPr>
              <w:t xml:space="preserve">Treści merytoryczne </w:t>
            </w:r>
          </w:p>
          <w:p w:rsidR="00841DE9" w:rsidRDefault="00841DE9" w:rsidP="00DE266E">
            <w:pPr>
              <w:ind w:left="36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1DE9" w:rsidRDefault="00841DE9" w:rsidP="005C3EB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Pojęcie praw człowieka:</w:t>
            </w:r>
          </w:p>
          <w:p w:rsidR="00841DE9" w:rsidRDefault="00841DE9" w:rsidP="005C3EB8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terminologia praw człowieka</w:t>
            </w:r>
          </w:p>
          <w:p w:rsidR="00841DE9" w:rsidRDefault="00841DE9" w:rsidP="005C3EB8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koncepcje praw i wolności</w:t>
            </w:r>
          </w:p>
          <w:p w:rsidR="00841DE9" w:rsidRDefault="00841DE9" w:rsidP="005C3EB8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prawo a wolność</w:t>
            </w:r>
          </w:p>
          <w:p w:rsidR="00841DE9" w:rsidRDefault="00841DE9" w:rsidP="00DE266E">
            <w:pPr>
              <w:rPr>
                <w:i/>
              </w:rPr>
            </w:pPr>
          </w:p>
          <w:p w:rsidR="00841DE9" w:rsidRDefault="00841DE9" w:rsidP="005C3EB8">
            <w:pPr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Klasyfikacje praw i wolności</w:t>
            </w:r>
          </w:p>
          <w:p w:rsidR="00841DE9" w:rsidRDefault="00841DE9" w:rsidP="005C3EB8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prawa i wolności osobiste </w:t>
            </w:r>
          </w:p>
          <w:p w:rsidR="00841DE9" w:rsidRDefault="00841DE9" w:rsidP="005C3EB8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prawa i wolności polityczne</w:t>
            </w:r>
          </w:p>
          <w:p w:rsidR="00841DE9" w:rsidRDefault="00841DE9" w:rsidP="005C3EB8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prawa i wolności gospodarcze, kulturalne i socjalne</w:t>
            </w:r>
          </w:p>
          <w:p w:rsidR="00841DE9" w:rsidRDefault="00841DE9" w:rsidP="00DE266E">
            <w:pPr>
              <w:rPr>
                <w:b/>
              </w:rPr>
            </w:pPr>
          </w:p>
          <w:p w:rsidR="00841DE9" w:rsidRDefault="00841DE9" w:rsidP="00DE266E">
            <w:pPr>
              <w:rPr>
                <w:b/>
              </w:rPr>
            </w:pPr>
          </w:p>
          <w:p w:rsidR="00841DE9" w:rsidRDefault="00841DE9" w:rsidP="005C3EB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Regulacja praw człowieka:</w:t>
            </w:r>
          </w:p>
          <w:p w:rsidR="00841DE9" w:rsidRDefault="00841DE9" w:rsidP="005C3EB8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Zasady i wartości podstawowe ochrony praw i wolności jednostki</w:t>
            </w:r>
          </w:p>
          <w:p w:rsidR="00841DE9" w:rsidRDefault="00841DE9" w:rsidP="005C3EB8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podmioty ochrony praw człowieka</w:t>
            </w:r>
          </w:p>
          <w:p w:rsidR="00841DE9" w:rsidRDefault="00841DE9" w:rsidP="005C3EB8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źródła praw i wolności</w:t>
            </w:r>
          </w:p>
          <w:p w:rsidR="00841DE9" w:rsidRDefault="00841DE9" w:rsidP="005C3EB8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problematyka praw i wolności obywatelskich</w:t>
            </w:r>
          </w:p>
          <w:p w:rsidR="00841DE9" w:rsidRDefault="00841DE9" w:rsidP="00DE266E">
            <w:pPr>
              <w:rPr>
                <w:b/>
              </w:rPr>
            </w:pPr>
          </w:p>
          <w:p w:rsidR="00841DE9" w:rsidRDefault="00841DE9" w:rsidP="005C3EB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Ograniczenia praw i wolności</w:t>
            </w:r>
          </w:p>
          <w:p w:rsidR="00841DE9" w:rsidRDefault="00841DE9" w:rsidP="005C3EB8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kryteria ograniczeń</w:t>
            </w:r>
          </w:p>
          <w:p w:rsidR="00841DE9" w:rsidRDefault="00841DE9" w:rsidP="005C3EB8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zakres ograniczeń</w:t>
            </w:r>
          </w:p>
          <w:p w:rsidR="00841DE9" w:rsidRDefault="00841DE9" w:rsidP="005C3EB8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prawa człowieka w stanach nadzwyczajnych</w:t>
            </w:r>
          </w:p>
          <w:p w:rsidR="00841DE9" w:rsidRDefault="00841DE9" w:rsidP="00DE266E">
            <w:pPr>
              <w:rPr>
                <w:b/>
              </w:rPr>
            </w:pPr>
          </w:p>
          <w:p w:rsidR="00841DE9" w:rsidRDefault="00841DE9" w:rsidP="005C3EB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Gwarancje i ochrona praw człowieka</w:t>
            </w:r>
          </w:p>
          <w:p w:rsidR="00841DE9" w:rsidRDefault="00841DE9" w:rsidP="005C3EB8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pojęcie i formy gwarancji</w:t>
            </w:r>
          </w:p>
          <w:p w:rsidR="00841DE9" w:rsidRDefault="00841DE9" w:rsidP="005C3EB8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środki ochrony wolności i praw jednostki</w:t>
            </w:r>
          </w:p>
          <w:p w:rsidR="00841DE9" w:rsidRDefault="00841DE9" w:rsidP="00DE266E">
            <w:pPr>
              <w:rPr>
                <w:b/>
              </w:rPr>
            </w:pPr>
          </w:p>
          <w:p w:rsidR="00841DE9" w:rsidRDefault="00841DE9" w:rsidP="005C3EB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Uniwersalizm i regionalizm w systemach ochrony praw człowieka</w:t>
            </w:r>
          </w:p>
          <w:p w:rsidR="00841DE9" w:rsidRDefault="00841DE9" w:rsidP="00DE266E">
            <w:pPr>
              <w:tabs>
                <w:tab w:val="num" w:pos="360"/>
              </w:tabs>
              <w:ind w:left="360" w:hanging="360"/>
              <w:rPr>
                <w:i/>
              </w:rPr>
            </w:pPr>
            <w:r>
              <w:rPr>
                <w:i/>
              </w:rPr>
              <w:t>ONZ – toski  systemy ochrony praw człowieka</w:t>
            </w:r>
          </w:p>
          <w:p w:rsidR="00841DE9" w:rsidRDefault="00841DE9" w:rsidP="00DE266E">
            <w:pPr>
              <w:tabs>
                <w:tab w:val="num" w:pos="360"/>
              </w:tabs>
              <w:ind w:left="360" w:hanging="360"/>
              <w:rPr>
                <w:i/>
              </w:rPr>
            </w:pPr>
            <w:r>
              <w:rPr>
                <w:i/>
              </w:rPr>
              <w:t>europejski system ochrony praw człowieka</w:t>
            </w:r>
          </w:p>
          <w:p w:rsidR="00841DE9" w:rsidRDefault="00841DE9" w:rsidP="00DE266E">
            <w:pPr>
              <w:tabs>
                <w:tab w:val="num" w:pos="360"/>
              </w:tabs>
              <w:ind w:left="360" w:hanging="360"/>
              <w:rPr>
                <w:i/>
              </w:rPr>
            </w:pPr>
            <w:r>
              <w:rPr>
                <w:i/>
              </w:rPr>
              <w:t>ponadnarodowy system ochrony praw człowieka</w:t>
            </w:r>
          </w:p>
          <w:p w:rsidR="00841DE9" w:rsidRDefault="00841DE9" w:rsidP="00DE266E">
            <w:pPr>
              <w:rPr>
                <w:i/>
              </w:rPr>
            </w:pPr>
          </w:p>
          <w:p w:rsidR="00841DE9" w:rsidRDefault="00841DE9" w:rsidP="00DE266E">
            <w:pPr>
              <w:rPr>
                <w:b/>
              </w:rPr>
            </w:pPr>
            <w:r>
              <w:rPr>
                <w:b/>
              </w:rPr>
              <w:t>7. Konstytucyjny charakter regulacji praw i wolności jednostki</w:t>
            </w:r>
          </w:p>
          <w:p w:rsidR="00841DE9" w:rsidRDefault="00841DE9" w:rsidP="00DE266E">
            <w:pPr>
              <w:rPr>
                <w:b/>
              </w:rPr>
            </w:pPr>
          </w:p>
          <w:p w:rsidR="00841DE9" w:rsidRDefault="00841DE9" w:rsidP="00DE266E">
            <w:pPr>
              <w:rPr>
                <w:b/>
              </w:rPr>
            </w:pPr>
            <w:r>
              <w:rPr>
                <w:b/>
              </w:rPr>
              <w:t>8. Obowiązki jednostki</w:t>
            </w:r>
          </w:p>
          <w:p w:rsidR="00841DE9" w:rsidRDefault="00841DE9" w:rsidP="00DE266E">
            <w:r>
              <w:t>a</w:t>
            </w:r>
            <w:r>
              <w:rPr>
                <w:i/>
              </w:rPr>
              <w:t>. pojęcie obowiązku</w:t>
            </w:r>
          </w:p>
          <w:p w:rsidR="00841DE9" w:rsidRPr="00BA16C2" w:rsidRDefault="00841DE9" w:rsidP="00DE266E">
            <w:pPr>
              <w:rPr>
                <w:i/>
              </w:rPr>
            </w:pPr>
            <w:r>
              <w:rPr>
                <w:i/>
              </w:rPr>
              <w:t>b. katalog obowiązków</w:t>
            </w:r>
          </w:p>
          <w:p w:rsidR="00841DE9" w:rsidRDefault="00841DE9" w:rsidP="00DE266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1DE9" w:rsidRPr="0069002C" w:rsidRDefault="00841DE9" w:rsidP="00DE266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1DE9" w:rsidRDefault="00841DE9" w:rsidP="00DE266E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9002C">
              <w:rPr>
                <w:rFonts w:ascii="Arial Narrow" w:hAnsi="Arial Narrow"/>
                <w:b/>
                <w:sz w:val="28"/>
                <w:szCs w:val="28"/>
              </w:rPr>
              <w:t>Zakres wiedzy i umiejętności niezbędnych do zaliczenia przedmiotu</w:t>
            </w:r>
          </w:p>
          <w:p w:rsidR="00841DE9" w:rsidRDefault="00841DE9" w:rsidP="00DE266E">
            <w:pPr>
              <w:spacing w:line="480" w:lineRule="auto"/>
              <w:ind w:firstLine="708"/>
            </w:pPr>
          </w:p>
          <w:p w:rsidR="00841DE9" w:rsidRDefault="00841DE9" w:rsidP="00DE266E">
            <w:pPr>
              <w:jc w:val="both"/>
            </w:pPr>
            <w:r>
              <w:t>Kompleksowe zapoznanie się z międzynarodowymi i wewnątrzkrajowymi standardami ochrony wolności i praw jednostki Zestawienie poglądów prezentowanych w doktrynie przedmiotu wraz z opanowaniem podstawowych kierunków interpretacji obowiązujących rozwiązań prawnych w orzecznictwie Europejskiego Trybunału Praw Człowieka, Europejskiego Trybunału Sprawiedliwości, Trybunału Konstytucyjnego i pozostałych organów władzy sądowniczej. Analiza poszczególnych zagadnień tematycznych w oparciu o przedstawiony materiał dydaktyczny.</w:t>
            </w:r>
          </w:p>
          <w:p w:rsidR="00841DE9" w:rsidRDefault="00841DE9" w:rsidP="0001270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1DE9" w:rsidRPr="0069002C" w:rsidRDefault="00841DE9" w:rsidP="00DE266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007"/>
            </w:tblGrid>
            <w:tr w:rsidR="00841DE9" w:rsidRPr="007244DA" w:rsidTr="0001270A">
              <w:trPr>
                <w:tblCellSpacing w:w="7" w:type="dxa"/>
                <w:jc w:val="center"/>
              </w:trPr>
              <w:tc>
                <w:tcPr>
                  <w:tcW w:w="9979" w:type="dxa"/>
                  <w:vAlign w:val="center"/>
                </w:tcPr>
                <w:p w:rsidR="00841DE9" w:rsidRPr="00DE266E" w:rsidRDefault="00841DE9" w:rsidP="00DE266E">
                  <w:pPr>
                    <w:rPr>
                      <w:rFonts w:ascii="Arial Narrow" w:hAnsi="Arial Narrow"/>
                      <w:b/>
                    </w:rPr>
                  </w:pPr>
                  <w:r w:rsidRPr="00DE266E">
                    <w:rPr>
                      <w:rFonts w:ascii="Arial Narrow" w:hAnsi="Arial Narrow"/>
                      <w:b/>
                    </w:rPr>
                    <w:t xml:space="preserve">Treści merytoryczne </w:t>
                  </w:r>
                </w:p>
                <w:p w:rsidR="00841DE9" w:rsidRPr="00DE266E" w:rsidRDefault="00841DE9" w:rsidP="00DE266E">
                  <w:pPr>
                    <w:rPr>
                      <w:rFonts w:ascii="Arial Narrow" w:hAnsi="Arial Narrow"/>
                    </w:rPr>
                  </w:pPr>
                </w:p>
                <w:p w:rsidR="00841DE9" w:rsidRPr="00DE266E" w:rsidRDefault="00841DE9" w:rsidP="00DE266E">
                  <w:p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I. Treści podstawowe: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Pojęcie praw i wolności człowieka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Klasyfikacja praw i wolności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Konstytucyjny zakres regulacji w obszarze praw iw lotności jednostki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Krajowe środki ochrony praw i wolności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9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Międzynarodowe systemy ochrony praw i wolności</w:t>
                  </w:r>
                </w:p>
                <w:p w:rsidR="00841DE9" w:rsidRPr="00DE266E" w:rsidRDefault="00841DE9" w:rsidP="00DE266E">
                  <w:pPr>
                    <w:rPr>
                      <w:rFonts w:ascii="Arial Narrow" w:hAnsi="Arial Narrow"/>
                    </w:rPr>
                  </w:pPr>
                </w:p>
                <w:p w:rsidR="00841DE9" w:rsidRPr="00DE266E" w:rsidRDefault="00841DE9" w:rsidP="00DE266E">
                  <w:pPr>
                    <w:rPr>
                      <w:rFonts w:ascii="Arial Narrow" w:hAnsi="Arial Narrow"/>
                    </w:rPr>
                  </w:pPr>
                </w:p>
                <w:p w:rsidR="00841DE9" w:rsidRPr="00DE266E" w:rsidRDefault="00841DE9" w:rsidP="00DE266E">
                  <w:p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II. Treści rozszerzone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0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Zasady i przesłanki ograniczenia praw i wolności jednostki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0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Praw i wolności w czasie trwania stanów nadzwyczajnych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0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Respektowanie praw i wolności w czasie trwania konfliktów zbrojnych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0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 xml:space="preserve">Międzynarodowe procedury skargowe 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0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Charakter prawny międzynarodowych rozstrzygnięć w zakresie ochrony praw i wolności jednostki</w:t>
                  </w:r>
                </w:p>
                <w:p w:rsidR="00841DE9" w:rsidRPr="00DE266E" w:rsidRDefault="00841DE9" w:rsidP="00DE266E">
                  <w:pPr>
                    <w:rPr>
                      <w:rFonts w:ascii="Arial Narrow" w:hAnsi="Arial Narrow"/>
                    </w:rPr>
                  </w:pPr>
                </w:p>
                <w:p w:rsidR="00841DE9" w:rsidRPr="00DE266E" w:rsidRDefault="00841DE9" w:rsidP="00DE266E">
                  <w:p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III. Treści specjalistyczne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Skarga konstytucyjna i jej praktyczne wykorzystanie w zakresie ochrony wolności i praw jednostki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Skarga do Europejskiego Trybunału Praw Człowieka i praktyczne wykorzystanie w zakresie ochrony praw i wolności w systemie Rady Europy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System skargowy i jego praktyczne wykorzystanie w Unii Europejskiej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Petycja do Komitetu Praw Człowieka w systemie ONZ</w:t>
                  </w:r>
                </w:p>
                <w:p w:rsidR="00841DE9" w:rsidRPr="00DE266E" w:rsidRDefault="00841DE9" w:rsidP="00B961B1">
                  <w:pPr>
                    <w:numPr>
                      <w:ilvl w:val="0"/>
                      <w:numId w:val="11"/>
                    </w:numPr>
                    <w:rPr>
                      <w:rFonts w:ascii="Arial Narrow" w:hAnsi="Arial Narrow"/>
                    </w:rPr>
                  </w:pPr>
                  <w:r w:rsidRPr="00DE266E">
                    <w:rPr>
                      <w:rFonts w:ascii="Arial Narrow" w:hAnsi="Arial Narrow"/>
                    </w:rPr>
                    <w:t>Inne procedury skargowe w systemie uniwersalnym</w:t>
                  </w:r>
                </w:p>
                <w:p w:rsidR="00841DE9" w:rsidRDefault="00841DE9" w:rsidP="003A4C61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DE266E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  <w:r w:rsidRPr="00DE266E">
                    <w:rPr>
                      <w:rFonts w:ascii="Arial" w:hAnsi="Arial" w:cs="Arial"/>
                      <w:u w:val="single"/>
                    </w:rPr>
                    <w:t xml:space="preserve">Literatura podstawowa 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DE266E">
                    <w:rPr>
                      <w:rFonts w:ascii="Arial" w:hAnsi="Arial" w:cs="Arial"/>
                    </w:rPr>
                    <w:t>1. B. Gronowska, T. Jasudowicz, M. Balcerzak, M. Lubiszewski, R. Mizerski, Prawa człowieka i ich ochrona, Toruń 2010;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smartTag w:uri="urn:schemas-microsoft-com:office:smarttags" w:element="metricconverter">
                    <w:smartTagPr>
                      <w:attr w:name="ProductID" w:val="2. G"/>
                    </w:smartTagPr>
                    <w:r w:rsidRPr="00DE266E">
                      <w:rPr>
                        <w:rFonts w:ascii="Arial" w:hAnsi="Arial" w:cs="Arial"/>
                      </w:rPr>
                      <w:t>2. G</w:t>
                    </w:r>
                  </w:smartTag>
                  <w:r w:rsidRPr="00DE266E">
                    <w:rPr>
                      <w:rFonts w:ascii="Arial" w:hAnsi="Arial" w:cs="Arial"/>
                    </w:rPr>
                    <w:t>. Michałowska, Ochrona praw człowieka w Radzie Europy i Unii Europejskiej, Warszawa 2007;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DE266E">
                    <w:rPr>
                      <w:rFonts w:ascii="Arial" w:hAnsi="Arial" w:cs="Arial"/>
                    </w:rPr>
                    <w:t>3. B. Banaszak, A. Bisztyga, K. Complak, M. Jabłoński, R. Wieruszewski, K. Wojtowicz, System ochrony praw człowieka, wyd. II, Zakamycze 2005;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smartTag w:uri="urn:schemas-microsoft-com:office:smarttags" w:element="metricconverter">
                    <w:smartTagPr>
                      <w:attr w:name="ProductID" w:val="4. M"/>
                    </w:smartTagPr>
                    <w:r w:rsidRPr="00DE266E">
                      <w:rPr>
                        <w:rFonts w:ascii="Arial" w:hAnsi="Arial" w:cs="Arial"/>
                      </w:rPr>
                      <w:t>4. M</w:t>
                    </w:r>
                  </w:smartTag>
                  <w:r w:rsidRPr="00DE266E">
                    <w:rPr>
                      <w:rFonts w:ascii="Arial" w:hAnsi="Arial" w:cs="Arial"/>
                    </w:rPr>
                    <w:t xml:space="preserve">. Jabłoński, S. Jarosz-Żukowska, Prawa człowieka i systemy ich ochrony. Zarys wykładu, Wrocław 2004. 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DE266E">
                    <w:rPr>
                      <w:rFonts w:ascii="Arial" w:hAnsi="Arial" w:cs="Arial"/>
                    </w:rPr>
                    <w:t xml:space="preserve"> 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DE266E">
                    <w:rPr>
                      <w:rFonts w:ascii="Arial" w:hAnsi="Arial" w:cs="Arial"/>
                      <w:u w:val="single"/>
                    </w:rPr>
                    <w:t xml:space="preserve">Literatura dodatkowa 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DE266E">
                    <w:rPr>
                      <w:rFonts w:ascii="Arial" w:hAnsi="Arial" w:cs="Arial"/>
                    </w:rPr>
                    <w:t>1. B. Banaszak, A. Preisner (red.), Prawa i wolności obywatelskie w Konstytucji RP, Wydawnictwo C. H. Beck, Warszawa 2002;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smartTag w:uri="urn:schemas-microsoft-com:office:smarttags" w:element="metricconverter">
                    <w:smartTagPr>
                      <w:attr w:name="ProductID" w:val="2. M"/>
                    </w:smartTagPr>
                    <w:r w:rsidRPr="00DE266E">
                      <w:rPr>
                        <w:rFonts w:ascii="Arial" w:hAnsi="Arial" w:cs="Arial"/>
                      </w:rPr>
                      <w:t>2. M</w:t>
                    </w:r>
                  </w:smartTag>
                  <w:r w:rsidRPr="00DE266E">
                    <w:rPr>
                      <w:rFonts w:ascii="Arial" w:hAnsi="Arial" w:cs="Arial"/>
                    </w:rPr>
                    <w:t>. Jabłoński (red.) Wolności i prawa jednostki w Konstytucji RP, tom I, Idee i zasady przewodnie konstytucyjnej regulacji wolności i praw jednostki w RP, Warszawa 2010;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smartTag w:uri="urn:schemas-microsoft-com:office:smarttags" w:element="metricconverter">
                    <w:smartTagPr>
                      <w:attr w:name="ProductID" w:val="3. L"/>
                    </w:smartTagPr>
                    <w:r w:rsidRPr="00DE266E">
                      <w:rPr>
                        <w:rFonts w:ascii="Arial" w:hAnsi="Arial" w:cs="Arial"/>
                      </w:rPr>
                      <w:t>3. L</w:t>
                    </w:r>
                  </w:smartTag>
                  <w:r w:rsidRPr="00DE266E">
                    <w:rPr>
                      <w:rFonts w:ascii="Arial" w:hAnsi="Arial" w:cs="Arial"/>
                    </w:rPr>
                    <w:t>. Garlicki (red.), Konwencja o Ochronie Praw Człowieka i Podstawowych Wolności, Komentarz, tom I i II, Warszawa 2011;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smartTag w:uri="urn:schemas-microsoft-com:office:smarttags" w:element="metricconverter">
                    <w:smartTagPr>
                      <w:attr w:name="ProductID" w:val="4. A"/>
                    </w:smartTagPr>
                    <w:r w:rsidRPr="00DE266E">
                      <w:rPr>
                        <w:rFonts w:ascii="Arial" w:hAnsi="Arial" w:cs="Arial"/>
                      </w:rPr>
                      <w:t>4. A</w:t>
                    </w:r>
                  </w:smartTag>
                  <w:r w:rsidRPr="00DE266E">
                    <w:rPr>
                      <w:rFonts w:ascii="Arial" w:hAnsi="Arial" w:cs="Arial"/>
                    </w:rPr>
                    <w:t>. Florczak, B. Bolechów, Prawa i wolności I i II generacji, Wydawnictwo Adam Marszałek, Toruń 2006;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DE266E">
                    <w:rPr>
                      <w:rFonts w:ascii="Arial" w:hAnsi="Arial" w:cs="Arial"/>
                    </w:rPr>
                    <w:t>5. H. Bajorek-Ziaja, Skarga do Europejskiego Trybunału Praw Człowieka oraz skarga do Trybunału Sprawiedliwości Unii Europejskiej, Warszawa 2010;</w:t>
                  </w:r>
                </w:p>
                <w:p w:rsidR="00841DE9" w:rsidRPr="00DE266E" w:rsidRDefault="00841DE9" w:rsidP="003A4C6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smartTag w:uri="urn:schemas-microsoft-com:office:smarttags" w:element="metricconverter">
                    <w:smartTagPr>
                      <w:attr w:name="ProductID" w:val="6. M"/>
                    </w:smartTagPr>
                    <w:r w:rsidRPr="00DE266E">
                      <w:rPr>
                        <w:rFonts w:ascii="Arial" w:hAnsi="Arial" w:cs="Arial"/>
                      </w:rPr>
                      <w:t>6. M</w:t>
                    </w:r>
                  </w:smartTag>
                  <w:r w:rsidRPr="00DE266E">
                    <w:rPr>
                      <w:rFonts w:ascii="Arial" w:hAnsi="Arial" w:cs="Arial"/>
                    </w:rPr>
                    <w:t>. Zubik (red.) Konstytucja III RP w tezach orzeczniczych Trybunału Konstytucyjnego i wybranych sądów, Wydawnictwo C. H. Beck Warszawa 2008;</w:t>
                  </w:r>
                </w:p>
                <w:p w:rsidR="00841DE9" w:rsidRPr="00DE266E" w:rsidRDefault="00841DE9" w:rsidP="003A4C61">
                  <w:pPr>
                    <w:pStyle w:val="HTMLPreformatted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7. M"/>
                    </w:smartTagPr>
                    <w:r w:rsidRPr="00DE266E">
                      <w:rPr>
                        <w:rFonts w:ascii="Arial" w:hAnsi="Arial" w:cs="Arial"/>
                        <w:sz w:val="24"/>
                        <w:szCs w:val="24"/>
                      </w:rPr>
                      <w:t>7. M</w:t>
                    </w:r>
                  </w:smartTag>
                  <w:r w:rsidRPr="00DE266E">
                    <w:rPr>
                      <w:rFonts w:ascii="Arial" w:hAnsi="Arial" w:cs="Arial"/>
                      <w:sz w:val="24"/>
                      <w:szCs w:val="24"/>
                    </w:rPr>
                    <w:t xml:space="preserve">. A Nowicki, Europejski Trybunał Praw Człowieka – orzecznictwo, tom I Prawo do rzetelnego procesu sądowego, tom II Prawo do życia i inne prawa, Kraków 2001. </w:t>
                  </w:r>
                </w:p>
                <w:p w:rsidR="00841DE9" w:rsidRDefault="00841DE9" w:rsidP="003A4C61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841DE9" w:rsidRDefault="00841DE9" w:rsidP="003A4C61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ZAGADNIENIA EGZAMINACYJNE:</w:t>
                  </w:r>
                </w:p>
                <w:p w:rsidR="00841DE9" w:rsidRDefault="00841DE9" w:rsidP="003A4C61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1. Prawo a człowiek – aksjologiczno-jurydyczne relacje między podmiotami.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2. Prawo podmiotowe a prawo przedmiotowe w stosunku do ludzi.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3. Prawo boskie, prawo naturalne, prawo ludzkie.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4. Dystynkcja znaczeniowa między rozumianym podmiotowo prawem a wolnością.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5. Starożytny a nowożytny paradygmat demokratyczno – prawoczłowieczy.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6. Demoliberalizm jako nośnik prawoczłowieczeństwa.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7. Pierwsza generacja praw człowieka – powstanie, rozwój i domniemamy upadek.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8. Druga generacja praw człowieka – powstanie, rozwój i domniemamy upadek.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9. Trzecia  generacja praw człowieka – powstanie, rozwój i domniemamy upadek.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>10. Czy można wyróżnić kolejne generacje praw człowieka? Rozważ problem powstania czwartej generacji praw człowieka.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11. Prawo wyborcze jako fundamentalne, polityczne uprawnienie obywatela.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12. Napięcie między demokracją bezpośrednią a pośrednią w kontekście możliwości urzeczywistnienia ludowładztwa.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13. Prawa jednostki a wizja demokratycznego państwa prawa; napięcie między demokracją a nomokracją.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14. Rzecznik Praw Obywatelskich – geneza, okoliczności pojawienia się na gruncie polskim, kompetencje, perspektywy realizacji zadań.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15. Rzecznik Praw Dziecka- geneza, okoliczności pojawienia się na gruncie polskim, kompetencje, perspektywy realizacji zadań, działanie tej instytucji.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16. Sądy jako tradycyjne byty odgrywające niezwykle ważną rolę w stosowaniu prawa względem ludzi.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17. Zasada równości wobec prawa a rodzime rozwiązania formalno i materialnoprawne.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18. Inne niż polityczne prawa człowieka i obywatela w polskim porządku konstytucyjnym. 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>19. Poszerzenia konserwatywnego paradygmatu prawoczłowieczego.</w:t>
                  </w:r>
                </w:p>
                <w:p w:rsidR="00841DE9" w:rsidRPr="00C332A4" w:rsidRDefault="00841DE9" w:rsidP="00C332A4">
                  <w:pPr>
                    <w:pStyle w:val="Default"/>
                    <w:spacing w:after="59"/>
                    <w:rPr>
                      <w:rStyle w:val="HTMLCite"/>
                      <w:rFonts w:cs="Calibri"/>
                    </w:rPr>
                  </w:pPr>
                  <w:r w:rsidRPr="00C332A4">
                    <w:rPr>
                      <w:rStyle w:val="HTMLCite"/>
                      <w:rFonts w:cs="Calibri"/>
                    </w:rPr>
                    <w:t xml:space="preserve">20. Karta Praw Podstawowych jako instytucja prawoczłowiecza. </w:t>
                  </w:r>
                </w:p>
                <w:p w:rsidR="00841DE9" w:rsidRPr="00C332A4" w:rsidRDefault="00841DE9" w:rsidP="00C332A4">
                  <w:pPr>
                    <w:rPr>
                      <w:rStyle w:val="HTMLCite"/>
                      <w:rFonts w:ascii="Calibri" w:hAnsi="Calibri"/>
                    </w:rPr>
                  </w:pPr>
                  <w:r w:rsidRPr="00C332A4">
                    <w:rPr>
                      <w:rStyle w:val="HTMLCite"/>
                      <w:rFonts w:ascii="Calibri" w:hAnsi="Calibri"/>
                    </w:rPr>
                    <w:t>21. Ewolucja konstytualizmu a rozwój praw człowieka i obywatela.</w:t>
                  </w:r>
                </w:p>
                <w:p w:rsidR="00841DE9" w:rsidRDefault="00841DE9" w:rsidP="00DE266E">
                  <w:pP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</w:rPr>
                  </w:pPr>
                </w:p>
                <w:p w:rsidR="00841DE9" w:rsidRDefault="00841DE9" w:rsidP="00DE266E">
                  <w:pP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</w:rPr>
                  </w:pPr>
                </w:p>
                <w:p w:rsidR="00841DE9" w:rsidRPr="007244DA" w:rsidRDefault="00841DE9" w:rsidP="00DE266E">
                  <w:pPr>
                    <w:spacing w:before="100" w:beforeAutospacing="1" w:after="100" w:afterAutospacing="1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1DE9" w:rsidRPr="007244DA" w:rsidTr="0001270A">
              <w:trPr>
                <w:tblCellSpacing w:w="7" w:type="dxa"/>
                <w:jc w:val="center"/>
              </w:trPr>
              <w:tc>
                <w:tcPr>
                  <w:tcW w:w="9979" w:type="dxa"/>
                  <w:vAlign w:val="center"/>
                </w:tcPr>
                <w:p w:rsidR="00841DE9" w:rsidRPr="0069002C" w:rsidRDefault="00841DE9" w:rsidP="00DE266E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41DE9" w:rsidRDefault="00841DE9" w:rsidP="00B961B1"/>
          <w:p w:rsidR="00841DE9" w:rsidRDefault="00841DE9" w:rsidP="00B961B1"/>
          <w:p w:rsidR="00841DE9" w:rsidRDefault="00841DE9" w:rsidP="00DE266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41DE9" w:rsidRDefault="00841DE9" w:rsidP="00DE266E">
            <w:pPr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</w:p>
          <w:p w:rsidR="00841DE9" w:rsidRPr="007244DA" w:rsidRDefault="00841DE9" w:rsidP="00DE266E">
            <w:pPr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841DE9" w:rsidRDefault="00841DE9"/>
    <w:sectPr w:rsidR="00841DE9" w:rsidSect="00BE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666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A6F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0E7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D6F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9C2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E3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8A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E6C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EF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E89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C0B8F"/>
    <w:multiLevelType w:val="singleLevel"/>
    <w:tmpl w:val="4AFC15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0CF1389"/>
    <w:multiLevelType w:val="hybridMultilevel"/>
    <w:tmpl w:val="23560F9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B561C0"/>
    <w:multiLevelType w:val="hybridMultilevel"/>
    <w:tmpl w:val="3EF0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21F2E"/>
    <w:multiLevelType w:val="singleLevel"/>
    <w:tmpl w:val="B26C82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B6E7A25"/>
    <w:multiLevelType w:val="hybridMultilevel"/>
    <w:tmpl w:val="D77E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9D2A47"/>
    <w:multiLevelType w:val="singleLevel"/>
    <w:tmpl w:val="2ABA80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53753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5A72DC6"/>
    <w:multiLevelType w:val="hybridMultilevel"/>
    <w:tmpl w:val="B540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C83C96"/>
    <w:multiLevelType w:val="hybridMultilevel"/>
    <w:tmpl w:val="408457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E6C7E"/>
    <w:multiLevelType w:val="singleLevel"/>
    <w:tmpl w:val="F9BA18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6ED3694"/>
    <w:multiLevelType w:val="singleLevel"/>
    <w:tmpl w:val="354C10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5"/>
  </w:num>
  <w:num w:numId="5">
    <w:abstractNumId w:val="20"/>
  </w:num>
  <w:num w:numId="6">
    <w:abstractNumId w:val="10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B8"/>
    <w:rsid w:val="0001270A"/>
    <w:rsid w:val="00057082"/>
    <w:rsid w:val="00167F4B"/>
    <w:rsid w:val="001A6F77"/>
    <w:rsid w:val="00295970"/>
    <w:rsid w:val="003A4C61"/>
    <w:rsid w:val="004065C5"/>
    <w:rsid w:val="00460F53"/>
    <w:rsid w:val="005302D6"/>
    <w:rsid w:val="00551D6A"/>
    <w:rsid w:val="005C3EB8"/>
    <w:rsid w:val="0069002C"/>
    <w:rsid w:val="007244DA"/>
    <w:rsid w:val="00841DE9"/>
    <w:rsid w:val="008F361E"/>
    <w:rsid w:val="009B0261"/>
    <w:rsid w:val="009F5789"/>
    <w:rsid w:val="00B66807"/>
    <w:rsid w:val="00B961B1"/>
    <w:rsid w:val="00BA16C2"/>
    <w:rsid w:val="00BE505A"/>
    <w:rsid w:val="00C332A4"/>
    <w:rsid w:val="00CA23C1"/>
    <w:rsid w:val="00CC2317"/>
    <w:rsid w:val="00D73884"/>
    <w:rsid w:val="00DE266E"/>
    <w:rsid w:val="00E6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A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A4C61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Default">
    <w:name w:val="Default"/>
    <w:uiPriority w:val="99"/>
    <w:rsid w:val="00C33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C332A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952</Words>
  <Characters>5712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Prawa człowieka i ich ochrona</dc:title>
  <dc:subject/>
  <dc:creator>wpae-zuk</dc:creator>
  <cp:keywords/>
  <dc:description/>
  <cp:lastModifiedBy>lavka</cp:lastModifiedBy>
  <cp:revision>2</cp:revision>
  <dcterms:created xsi:type="dcterms:W3CDTF">2016-01-13T11:07:00Z</dcterms:created>
  <dcterms:modified xsi:type="dcterms:W3CDTF">2016-01-13T11:07:00Z</dcterms:modified>
</cp:coreProperties>
</file>