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FF" w:rsidRDefault="00BD50FF" w:rsidP="00260E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 Justyna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Bazylińska-Nagler</w:t>
      </w:r>
      <w:proofErr w:type="spellEnd"/>
    </w:p>
    <w:p w:rsidR="00BD50FF" w:rsidRDefault="00BD50FF" w:rsidP="00260E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281D63" w:rsidRPr="00281D63">
        <w:rPr>
          <w:rFonts w:ascii="Times New Roman" w:hAnsi="Times New Roman" w:cs="Times New Roman"/>
          <w:b/>
          <w:sz w:val="24"/>
          <w:szCs w:val="24"/>
        </w:rPr>
        <w:t>System Ochrony Prawnej</w:t>
      </w:r>
      <w:r w:rsidR="00073EEE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281D63" w:rsidRPr="00281D63">
        <w:rPr>
          <w:rFonts w:ascii="Times New Roman" w:hAnsi="Times New Roman" w:cs="Times New Roman"/>
          <w:b/>
          <w:sz w:val="24"/>
          <w:szCs w:val="24"/>
        </w:rPr>
        <w:t xml:space="preserve"> UE </w:t>
      </w:r>
    </w:p>
    <w:p w:rsidR="00BD50FF" w:rsidRDefault="00BD50FF" w:rsidP="00260E3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60E33" w:rsidRPr="00BD50FF" w:rsidRDefault="00260E33" w:rsidP="00260E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50F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D50FF">
        <w:rPr>
          <w:rFonts w:ascii="Times New Roman" w:hAnsi="Times New Roman" w:cs="Times New Roman"/>
          <w:sz w:val="24"/>
          <w:szCs w:val="24"/>
          <w:u w:val="single"/>
        </w:rPr>
        <w:t>. Zasady stosowania prawa UE w prawie krajowym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a) autonomia prawa UE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b) zasada lojalnej współpracy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c) pierwszeństwo prawa UE przed prawem krajowym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d) bezpośrednie stosowanie i bezpośredni skutek prawa UE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</w:p>
    <w:p w:rsidR="00260E33" w:rsidRPr="00BD50FF" w:rsidRDefault="00260E33" w:rsidP="00260E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50F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D50FF">
        <w:rPr>
          <w:rFonts w:ascii="Times New Roman" w:hAnsi="Times New Roman" w:cs="Times New Roman"/>
          <w:sz w:val="24"/>
          <w:szCs w:val="24"/>
          <w:u w:val="single"/>
        </w:rPr>
        <w:t>. Struktura i organizacja wymiaru sprawiedliwości w UE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a) status i organizacja wewnętrzna TSUE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b) z</w:t>
      </w:r>
      <w:r w:rsidRPr="00281D63">
        <w:rPr>
          <w:rFonts w:ascii="Times New Roman" w:hAnsi="Times New Roman" w:cs="Times New Roman"/>
          <w:sz w:val="24"/>
          <w:szCs w:val="24"/>
        </w:rPr>
        <w:t>akres jurysdykcji sądów unijnych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</w:p>
    <w:p w:rsidR="00260E33" w:rsidRPr="00BD50FF" w:rsidRDefault="00260E33" w:rsidP="00260E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50F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D50FF">
        <w:rPr>
          <w:rFonts w:ascii="Times New Roman" w:hAnsi="Times New Roman" w:cs="Times New Roman"/>
          <w:sz w:val="24"/>
          <w:szCs w:val="24"/>
          <w:u w:val="single"/>
        </w:rPr>
        <w:t>. Szczegółowe kompetencje sądów unijnych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a) postępowania sporne, rodzaje i charakterystyka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- skarga na niewywiązywanie się państwa członkowskiego ze zobowiązań UE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- skarga na nieważność aktu prawa UE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- skarga na bezczynność instytucji UE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- skarga odszkodowawcza przeciwko UE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- skargi pracowników UE przeciwko UE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b) postępowania niesporne, rodzaje i charakterystyka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- odesłania prejudycjalne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- opinie o zgodności umów międzynarodowych UE z traktatem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</w:p>
    <w:p w:rsidR="00260E33" w:rsidRPr="00BD50FF" w:rsidRDefault="00260E33" w:rsidP="00260E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50FF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D50FF">
        <w:rPr>
          <w:rFonts w:ascii="Times New Roman" w:hAnsi="Times New Roman" w:cs="Times New Roman"/>
          <w:sz w:val="24"/>
          <w:szCs w:val="24"/>
          <w:u w:val="single"/>
        </w:rPr>
        <w:t>. Współpraca TSUE z sądami krajowymi w ramach procedury o wydanie orzeczenia prejudycjalnego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a) charakterystyka</w:t>
      </w:r>
      <w:r w:rsidR="00BD50FF">
        <w:rPr>
          <w:rFonts w:ascii="Times New Roman" w:hAnsi="Times New Roman" w:cs="Times New Roman"/>
          <w:sz w:val="24"/>
          <w:szCs w:val="24"/>
        </w:rPr>
        <w:t xml:space="preserve"> i przebieg postępowania</w:t>
      </w:r>
    </w:p>
    <w:p w:rsidR="00260E33" w:rsidRPr="00281D63" w:rsidRDefault="00BD50FF" w:rsidP="00260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60E33" w:rsidRPr="00281D63">
        <w:rPr>
          <w:rFonts w:ascii="Times New Roman" w:hAnsi="Times New Roman" w:cs="Times New Roman"/>
          <w:sz w:val="24"/>
          <w:szCs w:val="24"/>
        </w:rPr>
        <w:t>) skutek i moc wiążąca orzeczenia prejudycjalnego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</w:p>
    <w:p w:rsidR="00260E33" w:rsidRPr="00BD50FF" w:rsidRDefault="00260E33" w:rsidP="00260E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50F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D50FF">
        <w:rPr>
          <w:rFonts w:ascii="Times New Roman" w:hAnsi="Times New Roman" w:cs="Times New Roman"/>
          <w:sz w:val="24"/>
          <w:szCs w:val="24"/>
          <w:u w:val="single"/>
        </w:rPr>
        <w:t>. Ochrona praw podstawowych w UE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a) charakter prawny, treść i znaczenie K</w:t>
      </w:r>
      <w:r w:rsidRPr="00281D63">
        <w:rPr>
          <w:rFonts w:ascii="Times New Roman" w:hAnsi="Times New Roman" w:cs="Times New Roman"/>
          <w:sz w:val="24"/>
          <w:szCs w:val="24"/>
        </w:rPr>
        <w:t xml:space="preserve">arty </w:t>
      </w:r>
      <w:r w:rsidRPr="00281D63">
        <w:rPr>
          <w:rFonts w:ascii="Times New Roman" w:hAnsi="Times New Roman" w:cs="Times New Roman"/>
          <w:sz w:val="24"/>
          <w:szCs w:val="24"/>
        </w:rPr>
        <w:t>P</w:t>
      </w:r>
      <w:r w:rsidRPr="00281D63">
        <w:rPr>
          <w:rFonts w:ascii="Times New Roman" w:hAnsi="Times New Roman" w:cs="Times New Roman"/>
          <w:sz w:val="24"/>
          <w:szCs w:val="24"/>
        </w:rPr>
        <w:t xml:space="preserve">raw </w:t>
      </w:r>
      <w:r w:rsidRPr="00281D63">
        <w:rPr>
          <w:rFonts w:ascii="Times New Roman" w:hAnsi="Times New Roman" w:cs="Times New Roman"/>
          <w:sz w:val="24"/>
          <w:szCs w:val="24"/>
        </w:rPr>
        <w:t>P</w:t>
      </w:r>
      <w:r w:rsidRPr="00281D63">
        <w:rPr>
          <w:rFonts w:ascii="Times New Roman" w:hAnsi="Times New Roman" w:cs="Times New Roman"/>
          <w:sz w:val="24"/>
          <w:szCs w:val="24"/>
        </w:rPr>
        <w:t>odstawowych</w:t>
      </w:r>
      <w:r w:rsidRPr="00281D63">
        <w:rPr>
          <w:rFonts w:ascii="Times New Roman" w:hAnsi="Times New Roman" w:cs="Times New Roman"/>
          <w:sz w:val="24"/>
          <w:szCs w:val="24"/>
        </w:rPr>
        <w:t xml:space="preserve"> UE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lastRenderedPageBreak/>
        <w:t>b) stosowanie KPP</w:t>
      </w:r>
    </w:p>
    <w:p w:rsidR="00260E33" w:rsidRPr="00281D63" w:rsidRDefault="00260E33" w:rsidP="00260E33">
      <w:pPr>
        <w:rPr>
          <w:rFonts w:ascii="Times New Roman" w:hAnsi="Times New Roman" w:cs="Times New Roman"/>
          <w:sz w:val="24"/>
          <w:szCs w:val="24"/>
        </w:rPr>
      </w:pPr>
    </w:p>
    <w:p w:rsidR="00260E33" w:rsidRPr="00281D63" w:rsidRDefault="00260E33" w:rsidP="00260E33">
      <w:pPr>
        <w:rPr>
          <w:rFonts w:ascii="Times New Roman" w:hAnsi="Times New Roman" w:cs="Times New Roman"/>
          <w:b/>
          <w:sz w:val="24"/>
          <w:szCs w:val="24"/>
        </w:rPr>
      </w:pPr>
      <w:r w:rsidRPr="00281D63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3334F4" w:rsidRPr="00281D63" w:rsidRDefault="003334F4" w:rsidP="003334F4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81D63">
        <w:rPr>
          <w:rFonts w:ascii="Times New Roman" w:hAnsi="Times New Roman" w:cs="Times New Roman"/>
          <w:sz w:val="24"/>
          <w:szCs w:val="24"/>
        </w:rPr>
        <w:t>Wyrozumska</w:t>
      </w:r>
      <w:proofErr w:type="spellEnd"/>
      <w:r w:rsidRPr="00281D63">
        <w:rPr>
          <w:rFonts w:ascii="Times New Roman" w:hAnsi="Times New Roman" w:cs="Times New Roman"/>
          <w:sz w:val="24"/>
          <w:szCs w:val="24"/>
        </w:rPr>
        <w:t xml:space="preserve"> (red.) System ochrony prawnej w Unii Europejskiej, tom V, wydanie II, Instytut Wyda</w:t>
      </w:r>
      <w:r w:rsidR="00364F79" w:rsidRPr="00281D63">
        <w:rPr>
          <w:rFonts w:ascii="Times New Roman" w:hAnsi="Times New Roman" w:cs="Times New Roman"/>
          <w:sz w:val="24"/>
          <w:szCs w:val="24"/>
        </w:rPr>
        <w:t xml:space="preserve">wniczy </w:t>
      </w:r>
      <w:proofErr w:type="spellStart"/>
      <w:r w:rsidR="00364F79" w:rsidRPr="00281D63">
        <w:rPr>
          <w:rFonts w:ascii="Times New Roman" w:hAnsi="Times New Roman" w:cs="Times New Roman"/>
          <w:sz w:val="24"/>
          <w:szCs w:val="24"/>
        </w:rPr>
        <w:t>EuroPrawo</w:t>
      </w:r>
      <w:proofErr w:type="spellEnd"/>
      <w:r w:rsidR="00364F79" w:rsidRPr="00281D63">
        <w:rPr>
          <w:rFonts w:ascii="Times New Roman" w:hAnsi="Times New Roman" w:cs="Times New Roman"/>
          <w:sz w:val="24"/>
          <w:szCs w:val="24"/>
        </w:rPr>
        <w:t>, Warszawa 2010</w:t>
      </w:r>
    </w:p>
    <w:p w:rsidR="00364F79" w:rsidRPr="00281D63" w:rsidRDefault="003334F4" w:rsidP="00364F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1D63">
        <w:rPr>
          <w:rFonts w:ascii="Times New Roman" w:hAnsi="Times New Roman" w:cs="Times New Roman"/>
          <w:sz w:val="24"/>
          <w:szCs w:val="24"/>
        </w:rPr>
        <w:t>J.Barcz</w:t>
      </w:r>
      <w:proofErr w:type="spellEnd"/>
      <w:r w:rsidRPr="00281D63">
        <w:rPr>
          <w:rFonts w:ascii="Times New Roman" w:hAnsi="Times New Roman" w:cs="Times New Roman"/>
          <w:sz w:val="24"/>
          <w:szCs w:val="24"/>
        </w:rPr>
        <w:t xml:space="preserve">, M. Górka, A. </w:t>
      </w:r>
      <w:proofErr w:type="spellStart"/>
      <w:r w:rsidRPr="00281D63">
        <w:rPr>
          <w:rFonts w:ascii="Times New Roman" w:hAnsi="Times New Roman" w:cs="Times New Roman"/>
          <w:sz w:val="24"/>
          <w:szCs w:val="24"/>
        </w:rPr>
        <w:t>Wyrozumska</w:t>
      </w:r>
      <w:proofErr w:type="spellEnd"/>
      <w:r w:rsidRPr="00281D63">
        <w:rPr>
          <w:rFonts w:ascii="Times New Roman" w:hAnsi="Times New Roman" w:cs="Times New Roman"/>
          <w:sz w:val="24"/>
          <w:szCs w:val="24"/>
        </w:rPr>
        <w:t>, Instytucje i prawo Unii Europejskiej, Podręcznik dla kierunków</w:t>
      </w:r>
      <w:r w:rsidR="007A14C0" w:rsidRPr="00281D63">
        <w:rPr>
          <w:rFonts w:ascii="Times New Roman" w:hAnsi="Times New Roman" w:cs="Times New Roman"/>
          <w:sz w:val="24"/>
          <w:szCs w:val="24"/>
        </w:rPr>
        <w:t xml:space="preserve"> prawa,</w:t>
      </w:r>
      <w:r w:rsidRPr="00281D63">
        <w:rPr>
          <w:rFonts w:ascii="Times New Roman" w:hAnsi="Times New Roman" w:cs="Times New Roman"/>
          <w:sz w:val="24"/>
          <w:szCs w:val="24"/>
        </w:rPr>
        <w:t xml:space="preserve"> zar</w:t>
      </w:r>
      <w:r w:rsidR="007A14C0" w:rsidRPr="00281D63">
        <w:rPr>
          <w:rFonts w:ascii="Times New Roman" w:hAnsi="Times New Roman" w:cs="Times New Roman"/>
          <w:sz w:val="24"/>
          <w:szCs w:val="24"/>
        </w:rPr>
        <w:t>ządzania i administracji, wyd. 4, Warszawa 2015</w:t>
      </w:r>
    </w:p>
    <w:p w:rsidR="00364F79" w:rsidRPr="00281D63" w:rsidRDefault="00364F79" w:rsidP="00364F79">
      <w:pPr>
        <w:rPr>
          <w:rFonts w:ascii="Times New Roman" w:hAnsi="Times New Roman" w:cs="Times New Roman"/>
          <w:sz w:val="24"/>
          <w:szCs w:val="24"/>
        </w:rPr>
      </w:pPr>
    </w:p>
    <w:p w:rsidR="00364F79" w:rsidRPr="00281D63" w:rsidRDefault="00364F79" w:rsidP="00364F79">
      <w:pPr>
        <w:rPr>
          <w:rFonts w:ascii="Times New Roman" w:hAnsi="Times New Roman" w:cs="Times New Roman"/>
          <w:b/>
          <w:sz w:val="24"/>
          <w:szCs w:val="24"/>
        </w:rPr>
      </w:pPr>
      <w:r w:rsidRPr="00281D63">
        <w:rPr>
          <w:rFonts w:ascii="Times New Roman" w:hAnsi="Times New Roman" w:cs="Times New Roman"/>
          <w:b/>
          <w:sz w:val="24"/>
          <w:szCs w:val="24"/>
        </w:rPr>
        <w:t>Źródła prawa</w:t>
      </w:r>
      <w:r w:rsidRPr="00281D63">
        <w:rPr>
          <w:rFonts w:ascii="Times New Roman" w:hAnsi="Times New Roman" w:cs="Times New Roman"/>
          <w:b/>
          <w:sz w:val="24"/>
          <w:szCs w:val="24"/>
        </w:rPr>
        <w:t>:</w:t>
      </w:r>
    </w:p>
    <w:p w:rsidR="00CE6DB4" w:rsidRPr="00281D63" w:rsidRDefault="00CE6DB4" w:rsidP="00364F79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Traktat</w:t>
      </w:r>
      <w:r w:rsidR="00364F79" w:rsidRPr="00281D63">
        <w:rPr>
          <w:rFonts w:ascii="Times New Roman" w:hAnsi="Times New Roman" w:cs="Times New Roman"/>
          <w:sz w:val="24"/>
          <w:szCs w:val="24"/>
        </w:rPr>
        <w:t xml:space="preserve"> o U</w:t>
      </w:r>
      <w:r w:rsidRPr="00281D63">
        <w:rPr>
          <w:rFonts w:ascii="Times New Roman" w:hAnsi="Times New Roman" w:cs="Times New Roman"/>
          <w:sz w:val="24"/>
          <w:szCs w:val="24"/>
        </w:rPr>
        <w:t xml:space="preserve">nii </w:t>
      </w:r>
      <w:r w:rsidR="00364F79" w:rsidRPr="00281D63">
        <w:rPr>
          <w:rFonts w:ascii="Times New Roman" w:hAnsi="Times New Roman" w:cs="Times New Roman"/>
          <w:sz w:val="24"/>
          <w:szCs w:val="24"/>
        </w:rPr>
        <w:t>E</w:t>
      </w:r>
      <w:r w:rsidRPr="00281D63">
        <w:rPr>
          <w:rFonts w:ascii="Times New Roman" w:hAnsi="Times New Roman" w:cs="Times New Roman"/>
          <w:sz w:val="24"/>
          <w:szCs w:val="24"/>
        </w:rPr>
        <w:t>uropejskiej</w:t>
      </w:r>
      <w:r w:rsidR="00595989" w:rsidRPr="00281D63">
        <w:rPr>
          <w:rFonts w:ascii="Times New Roman" w:hAnsi="Times New Roman" w:cs="Times New Roman"/>
          <w:sz w:val="24"/>
          <w:szCs w:val="24"/>
        </w:rPr>
        <w:t xml:space="preserve"> (</w:t>
      </w:r>
      <w:r w:rsidRPr="00281D63">
        <w:rPr>
          <w:rFonts w:ascii="Times New Roman" w:hAnsi="Times New Roman" w:cs="Times New Roman"/>
          <w:sz w:val="24"/>
          <w:szCs w:val="24"/>
        </w:rPr>
        <w:t>wersja skonsolidowana</w:t>
      </w:r>
      <w:r w:rsidR="00595989" w:rsidRPr="00281D63">
        <w:rPr>
          <w:rFonts w:ascii="Times New Roman" w:hAnsi="Times New Roman" w:cs="Times New Roman"/>
          <w:sz w:val="24"/>
          <w:szCs w:val="24"/>
        </w:rPr>
        <w:t>)</w:t>
      </w:r>
      <w:r w:rsidRPr="00281D63">
        <w:rPr>
          <w:rFonts w:ascii="Times New Roman" w:hAnsi="Times New Roman" w:cs="Times New Roman"/>
          <w:sz w:val="24"/>
          <w:szCs w:val="24"/>
        </w:rPr>
        <w:t xml:space="preserve">, Dz. Urz. UE </w:t>
      </w:r>
      <w:r w:rsidR="00595989" w:rsidRPr="00281D63">
        <w:rPr>
          <w:rFonts w:ascii="Times New Roman" w:hAnsi="Times New Roman" w:cs="Times New Roman"/>
          <w:sz w:val="24"/>
          <w:szCs w:val="24"/>
        </w:rPr>
        <w:t>C 202/1 z 7.06.2016</w:t>
      </w:r>
    </w:p>
    <w:p w:rsidR="00364F79" w:rsidRPr="00281D63" w:rsidRDefault="00CE6DB4" w:rsidP="00364F79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Traktat</w:t>
      </w:r>
      <w:r w:rsidR="00364F79" w:rsidRPr="00281D63">
        <w:rPr>
          <w:rFonts w:ascii="Times New Roman" w:hAnsi="Times New Roman" w:cs="Times New Roman"/>
          <w:sz w:val="24"/>
          <w:szCs w:val="24"/>
        </w:rPr>
        <w:t xml:space="preserve"> o funkcjonowaniu U</w:t>
      </w:r>
      <w:r w:rsidRPr="00281D63">
        <w:rPr>
          <w:rFonts w:ascii="Times New Roman" w:hAnsi="Times New Roman" w:cs="Times New Roman"/>
          <w:sz w:val="24"/>
          <w:szCs w:val="24"/>
        </w:rPr>
        <w:t xml:space="preserve">nii </w:t>
      </w:r>
      <w:r w:rsidR="00364F79" w:rsidRPr="00281D63">
        <w:rPr>
          <w:rFonts w:ascii="Times New Roman" w:hAnsi="Times New Roman" w:cs="Times New Roman"/>
          <w:sz w:val="24"/>
          <w:szCs w:val="24"/>
        </w:rPr>
        <w:t>E</w:t>
      </w:r>
      <w:r w:rsidRPr="00281D63">
        <w:rPr>
          <w:rFonts w:ascii="Times New Roman" w:hAnsi="Times New Roman" w:cs="Times New Roman"/>
          <w:sz w:val="24"/>
          <w:szCs w:val="24"/>
        </w:rPr>
        <w:t xml:space="preserve">uropejskiej </w:t>
      </w:r>
      <w:r w:rsidR="00595989" w:rsidRPr="00281D63">
        <w:rPr>
          <w:rFonts w:ascii="Times New Roman" w:hAnsi="Times New Roman" w:cs="Times New Roman"/>
          <w:sz w:val="24"/>
          <w:szCs w:val="24"/>
        </w:rPr>
        <w:t>(</w:t>
      </w:r>
      <w:r w:rsidRPr="00281D63">
        <w:rPr>
          <w:rFonts w:ascii="Times New Roman" w:hAnsi="Times New Roman" w:cs="Times New Roman"/>
          <w:sz w:val="24"/>
          <w:szCs w:val="24"/>
        </w:rPr>
        <w:t>wersja skonsolidowana</w:t>
      </w:r>
      <w:r w:rsidR="00595989" w:rsidRPr="00281D63">
        <w:rPr>
          <w:rFonts w:ascii="Times New Roman" w:hAnsi="Times New Roman" w:cs="Times New Roman"/>
          <w:sz w:val="24"/>
          <w:szCs w:val="24"/>
        </w:rPr>
        <w:t>)</w:t>
      </w:r>
      <w:r w:rsidRPr="00281D63">
        <w:rPr>
          <w:rFonts w:ascii="Times New Roman" w:hAnsi="Times New Roman" w:cs="Times New Roman"/>
          <w:sz w:val="24"/>
          <w:szCs w:val="24"/>
        </w:rPr>
        <w:t xml:space="preserve">, </w:t>
      </w:r>
      <w:r w:rsidR="00364F79" w:rsidRPr="00281D63">
        <w:rPr>
          <w:rFonts w:ascii="Times New Roman" w:hAnsi="Times New Roman" w:cs="Times New Roman"/>
          <w:sz w:val="24"/>
          <w:szCs w:val="24"/>
        </w:rPr>
        <w:t>Dz. Urz. UE</w:t>
      </w:r>
      <w:r w:rsidR="00595989" w:rsidRPr="00281D63">
        <w:rPr>
          <w:rFonts w:ascii="Times New Roman" w:hAnsi="Times New Roman" w:cs="Times New Roman"/>
          <w:sz w:val="24"/>
          <w:szCs w:val="24"/>
        </w:rPr>
        <w:t xml:space="preserve"> C 202/1 z 7.06.2016 </w:t>
      </w:r>
      <w:r w:rsidR="00364F79" w:rsidRPr="00281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08" w:rsidRPr="00281D63" w:rsidRDefault="00007108" w:rsidP="00007108">
      <w:pPr>
        <w:rPr>
          <w:rFonts w:ascii="Times New Roman" w:hAnsi="Times New Roman" w:cs="Times New Roman"/>
          <w:sz w:val="24"/>
          <w:szCs w:val="24"/>
        </w:rPr>
      </w:pPr>
    </w:p>
    <w:p w:rsidR="00007108" w:rsidRDefault="00007108" w:rsidP="00007108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Decyzja Rady z dnia 25 czerwca 2013 r. w sprawie zwiększenia liczby rzeczników generalnych Trybunału Sprawiedliwości Unii Europejskiej (2013/336/ЕС)</w:t>
      </w:r>
    </w:p>
    <w:p w:rsidR="00281D63" w:rsidRPr="00281D63" w:rsidRDefault="00281D63" w:rsidP="00007108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Statut Trybunału Sprawiedliwości Unii Europejskiej  (1-9-2016)</w:t>
      </w:r>
    </w:p>
    <w:p w:rsidR="00007108" w:rsidRPr="00281D63" w:rsidRDefault="00007108" w:rsidP="00007108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Regulamin Trybunału Sprawiedliwości (19-7-2016)</w:t>
      </w:r>
    </w:p>
    <w:p w:rsidR="00007108" w:rsidRPr="00281D63" w:rsidRDefault="00007108" w:rsidP="00007108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Regulamin dodatkowy  (14-1-2014)</w:t>
      </w:r>
    </w:p>
    <w:p w:rsidR="00007108" w:rsidRPr="00281D63" w:rsidRDefault="00007108" w:rsidP="00007108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Zalecenia dla sądów krajowych, dotyczące składania wniosków o wydanie orzeczenia w trybie prejudycjalnym</w:t>
      </w:r>
    </w:p>
    <w:p w:rsidR="00007108" w:rsidRPr="00281D63" w:rsidRDefault="00007108" w:rsidP="00007108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Praktyczne instrukcje dla stron dotyczące spraw wnoszonych do Trybunału</w:t>
      </w:r>
    </w:p>
    <w:p w:rsidR="00007108" w:rsidRPr="00281D63" w:rsidRDefault="00007108" w:rsidP="00364F79">
      <w:pPr>
        <w:rPr>
          <w:rFonts w:ascii="Times New Roman" w:hAnsi="Times New Roman" w:cs="Times New Roman"/>
          <w:sz w:val="24"/>
          <w:szCs w:val="24"/>
        </w:rPr>
      </w:pPr>
    </w:p>
    <w:p w:rsidR="00364F79" w:rsidRPr="00281D63" w:rsidRDefault="00364F79" w:rsidP="00364F79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dost</w:t>
      </w:r>
      <w:r w:rsidR="00007108" w:rsidRPr="00281D63">
        <w:rPr>
          <w:rFonts w:ascii="Times New Roman" w:hAnsi="Times New Roman" w:cs="Times New Roman"/>
          <w:sz w:val="24"/>
          <w:szCs w:val="24"/>
        </w:rPr>
        <w:t>ępne</w:t>
      </w:r>
      <w:r w:rsidRPr="00281D63">
        <w:rPr>
          <w:rFonts w:ascii="Times New Roman" w:hAnsi="Times New Roman" w:cs="Times New Roman"/>
          <w:sz w:val="24"/>
          <w:szCs w:val="24"/>
        </w:rPr>
        <w:t>:</w:t>
      </w:r>
    </w:p>
    <w:p w:rsidR="00417617" w:rsidRPr="00281D63" w:rsidRDefault="00364F79" w:rsidP="00364F79">
      <w:pPr>
        <w:rPr>
          <w:rFonts w:ascii="Times New Roman" w:hAnsi="Times New Roman" w:cs="Times New Roman"/>
          <w:sz w:val="24"/>
          <w:szCs w:val="24"/>
        </w:rPr>
      </w:pPr>
      <w:r w:rsidRPr="00281D63">
        <w:rPr>
          <w:rFonts w:ascii="Times New Roman" w:hAnsi="Times New Roman" w:cs="Times New Roman"/>
          <w:sz w:val="24"/>
          <w:szCs w:val="24"/>
        </w:rPr>
        <w:t>http://curia.europa.eu/jcms/jcms/Jo2_7031/procedura</w:t>
      </w:r>
    </w:p>
    <w:sectPr w:rsidR="00417617" w:rsidRPr="0028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10"/>
    <w:rsid w:val="00007108"/>
    <w:rsid w:val="00073EEE"/>
    <w:rsid w:val="00101710"/>
    <w:rsid w:val="00260E33"/>
    <w:rsid w:val="00281D63"/>
    <w:rsid w:val="003334F4"/>
    <w:rsid w:val="00364F79"/>
    <w:rsid w:val="00417617"/>
    <w:rsid w:val="00595989"/>
    <w:rsid w:val="007A14C0"/>
    <w:rsid w:val="00BD50FF"/>
    <w:rsid w:val="00C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2FC"/>
  <w15:chartTrackingRefBased/>
  <w15:docId w15:val="{C2BD7E2D-8F6E-41CF-9265-84CAF574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jbazylinska</dc:creator>
  <cp:keywords/>
  <dc:description/>
  <cp:lastModifiedBy>jbazylinska</cp:lastModifiedBy>
  <cp:revision>14</cp:revision>
  <dcterms:created xsi:type="dcterms:W3CDTF">2017-10-11T08:19:00Z</dcterms:created>
  <dcterms:modified xsi:type="dcterms:W3CDTF">2017-10-11T09:01:00Z</dcterms:modified>
</cp:coreProperties>
</file>